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D4A" w:rsidRDefault="00DB6D4A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B6D4A" w:rsidRDefault="00DB6D4A">
      <w:pPr>
        <w:pStyle w:val="ConsPlusNormal"/>
        <w:jc w:val="both"/>
        <w:outlineLvl w:val="0"/>
      </w:pPr>
    </w:p>
    <w:p w:rsidR="00DB6D4A" w:rsidRDefault="00DB6D4A">
      <w:pPr>
        <w:pStyle w:val="ConsPlusTitle"/>
        <w:jc w:val="center"/>
        <w:outlineLvl w:val="0"/>
      </w:pPr>
      <w:r>
        <w:t>ПРАВИТЕЛЬСТВО ПЕНЗЕНСКОЙ ОБЛАСТИ</w:t>
      </w:r>
    </w:p>
    <w:p w:rsidR="00DB6D4A" w:rsidRDefault="00DB6D4A">
      <w:pPr>
        <w:pStyle w:val="ConsPlusTitle"/>
        <w:jc w:val="both"/>
      </w:pPr>
    </w:p>
    <w:p w:rsidR="00DB6D4A" w:rsidRDefault="00DB6D4A">
      <w:pPr>
        <w:pStyle w:val="ConsPlusTitle"/>
        <w:jc w:val="center"/>
      </w:pPr>
      <w:r>
        <w:t>ПОСТАНОВЛЕНИЕ</w:t>
      </w:r>
    </w:p>
    <w:p w:rsidR="00DB6D4A" w:rsidRDefault="00DB6D4A">
      <w:pPr>
        <w:pStyle w:val="ConsPlusTitle"/>
        <w:jc w:val="center"/>
      </w:pPr>
      <w:r>
        <w:t>от 3 декабря 2024 г. N 962-пП</w:t>
      </w:r>
    </w:p>
    <w:p w:rsidR="00DB6D4A" w:rsidRDefault="00DB6D4A">
      <w:pPr>
        <w:pStyle w:val="ConsPlusTitle"/>
        <w:jc w:val="both"/>
      </w:pPr>
    </w:p>
    <w:p w:rsidR="00DB6D4A" w:rsidRDefault="00DB6D4A">
      <w:pPr>
        <w:pStyle w:val="ConsPlusTitle"/>
        <w:jc w:val="center"/>
      </w:pPr>
      <w:r>
        <w:t>ОБ УСТАНОВЛЕНИИ ПРЕДЕЛЬНОГО РАЗМЕРА ПЛАТЫ ЗА ПРОВЕДЕНИЕ</w:t>
      </w:r>
    </w:p>
    <w:p w:rsidR="00DB6D4A" w:rsidRDefault="00DB6D4A">
      <w:pPr>
        <w:pStyle w:val="ConsPlusTitle"/>
        <w:jc w:val="center"/>
      </w:pPr>
      <w:r>
        <w:t>ТЕХНИЧЕСКОГО ОСМОТРА ТРАНСПОРТНЫХ СРЕДСТВ НА ТЕРРИТОРИИ</w:t>
      </w:r>
    </w:p>
    <w:p w:rsidR="00DB6D4A" w:rsidRDefault="00DB6D4A">
      <w:pPr>
        <w:pStyle w:val="ConsPlusTitle"/>
        <w:jc w:val="center"/>
      </w:pPr>
      <w:r>
        <w:t>ПЕНЗЕНСКОЙ ОБЛАСТИ</w:t>
      </w:r>
    </w:p>
    <w:p w:rsidR="00DB6D4A" w:rsidRDefault="00DB6D4A">
      <w:pPr>
        <w:pStyle w:val="ConsPlusNormal"/>
        <w:jc w:val="both"/>
      </w:pPr>
    </w:p>
    <w:p w:rsidR="00DB6D4A" w:rsidRDefault="00DB6D4A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01.07.2011 N 170-ФЗ "О техническом осмотре транспортных средств и о внесении изменений в отдельные законодательные акты Российской Федерации" (с последующими изменениями),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15.09.2020 N 1433 "Об утверждении Правил проведения технического осмотра транспортных средств городского наземного электрического транспорта" (с последующими изменениями),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15.09.2020 N 1434 "Об утверждении</w:t>
      </w:r>
      <w:proofErr w:type="gramEnd"/>
      <w:r>
        <w:t xml:space="preserve"> </w:t>
      </w:r>
      <w:proofErr w:type="gramStart"/>
      <w:r>
        <w:t xml:space="preserve">Правил проведения технического осмотра транспортных средств, а также о внесении изменений в некоторые акты Правительства Российской Федерации" (с последующими изменениями), руководствуясь </w:t>
      </w:r>
      <w:hyperlink r:id="rId9">
        <w:r>
          <w:rPr>
            <w:color w:val="0000FF"/>
          </w:rPr>
          <w:t>Законом</w:t>
        </w:r>
      </w:hyperlink>
      <w:r>
        <w:t xml:space="preserve"> Пензенской области от 21.04.2023 N 4006-ЗПО "О Правительстве Пензенской области" (с последующими изменениями), </w:t>
      </w:r>
      <w:hyperlink r:id="rId10">
        <w:r>
          <w:rPr>
            <w:color w:val="0000FF"/>
          </w:rPr>
          <w:t>приказом</w:t>
        </w:r>
      </w:hyperlink>
      <w:r>
        <w:t xml:space="preserve"> ФАС России от 30.06.2022 N 489/22 "Об утверждении Методики расчета предельного размера платы за проведение технического осмотра", Правительство Пензенской области постановляет:</w:t>
      </w:r>
      <w:proofErr w:type="gramEnd"/>
    </w:p>
    <w:p w:rsidR="00DB6D4A" w:rsidRDefault="00DB6D4A">
      <w:pPr>
        <w:pStyle w:val="ConsPlusNormal"/>
        <w:spacing w:before="220"/>
        <w:ind w:firstLine="540"/>
        <w:jc w:val="both"/>
      </w:pPr>
      <w:r>
        <w:t xml:space="preserve">1. Установить предельный </w:t>
      </w:r>
      <w:hyperlink w:anchor="P30">
        <w:r>
          <w:rPr>
            <w:color w:val="0000FF"/>
          </w:rPr>
          <w:t>размер</w:t>
        </w:r>
      </w:hyperlink>
      <w:r>
        <w:t xml:space="preserve"> платы за проведение технического осмотра транспортных средств на территории Пензенской области согласно приложению к настоящему постановлению.</w:t>
      </w:r>
    </w:p>
    <w:p w:rsidR="00DB6D4A" w:rsidRDefault="00DB6D4A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01.11.2023 N 975-пП "Об установлении предельного размера платы за проведение технического осмотра транспортных средств на территории Пензенской области".</w:t>
      </w:r>
    </w:p>
    <w:p w:rsidR="00DB6D4A" w:rsidRDefault="00DB6D4A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2025 года.</w:t>
      </w:r>
    </w:p>
    <w:p w:rsidR="00DB6D4A" w:rsidRDefault="00DB6D4A">
      <w:pPr>
        <w:pStyle w:val="ConsPlusNormal"/>
        <w:spacing w:before="220"/>
        <w:ind w:firstLine="540"/>
        <w:jc w:val="both"/>
      </w:pPr>
      <w:r>
        <w:t xml:space="preserve">4. Настоящее постановление опубликовать в газете "Пензенские губернские ведомости" и разместить (опубликовать) на "Официальном </w:t>
      </w:r>
      <w:proofErr w:type="gramStart"/>
      <w:r>
        <w:t>интернет-портале</w:t>
      </w:r>
      <w:proofErr w:type="gramEnd"/>
      <w:r>
        <w:t xml:space="preserve"> правовой информации" (</w:t>
      </w:r>
      <w:hyperlink r:id="rId12">
        <w:r>
          <w:rPr>
            <w:color w:val="0000FF"/>
          </w:rPr>
          <w:t>www.pravo.gov.ru</w:t>
        </w:r>
      </w:hyperlink>
      <w:r>
        <w:t>) и на официальном сайте Правительства Пензенской области в информационно-телекоммуникационной сети "Интернет".</w:t>
      </w:r>
    </w:p>
    <w:p w:rsidR="00DB6D4A" w:rsidRDefault="00DB6D4A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Председателя Правительства Пензенской области, координирующего вопросы формирования и реализации государственной политики в сфере транспорта.</w:t>
      </w:r>
    </w:p>
    <w:p w:rsidR="00DB6D4A" w:rsidRDefault="00DB6D4A">
      <w:pPr>
        <w:pStyle w:val="ConsPlusNormal"/>
        <w:jc w:val="both"/>
      </w:pPr>
    </w:p>
    <w:p w:rsidR="00DB6D4A" w:rsidRDefault="00DB6D4A">
      <w:pPr>
        <w:pStyle w:val="ConsPlusNormal"/>
        <w:jc w:val="right"/>
      </w:pPr>
      <w:r>
        <w:t>Председатель Правительства</w:t>
      </w:r>
    </w:p>
    <w:p w:rsidR="00DB6D4A" w:rsidRDefault="00DB6D4A">
      <w:pPr>
        <w:pStyle w:val="ConsPlusNormal"/>
        <w:jc w:val="right"/>
      </w:pPr>
      <w:r>
        <w:t>Пензенской области</w:t>
      </w:r>
    </w:p>
    <w:p w:rsidR="00DB6D4A" w:rsidRDefault="00DB6D4A">
      <w:pPr>
        <w:pStyle w:val="ConsPlusNormal"/>
        <w:jc w:val="right"/>
      </w:pPr>
      <w:r>
        <w:t>Н.П.СИМОНОВ</w:t>
      </w:r>
    </w:p>
    <w:p w:rsidR="00DB6D4A" w:rsidRDefault="00DB6D4A">
      <w:pPr>
        <w:pStyle w:val="ConsPlusNormal"/>
        <w:jc w:val="both"/>
      </w:pPr>
    </w:p>
    <w:p w:rsidR="00DB6D4A" w:rsidRDefault="00DB6D4A">
      <w:pPr>
        <w:pStyle w:val="ConsPlusNormal"/>
        <w:jc w:val="both"/>
      </w:pPr>
    </w:p>
    <w:p w:rsidR="00DB6D4A" w:rsidRDefault="00DB6D4A">
      <w:pPr>
        <w:pStyle w:val="ConsPlusNormal"/>
        <w:jc w:val="both"/>
      </w:pPr>
    </w:p>
    <w:p w:rsidR="00DB6D4A" w:rsidRDefault="00DB6D4A">
      <w:pPr>
        <w:pStyle w:val="ConsPlusNormal"/>
        <w:jc w:val="both"/>
      </w:pPr>
    </w:p>
    <w:p w:rsidR="00DB6D4A" w:rsidRDefault="00DB6D4A">
      <w:pPr>
        <w:pStyle w:val="ConsPlusNormal"/>
        <w:jc w:val="both"/>
      </w:pPr>
    </w:p>
    <w:p w:rsidR="00DB6D4A" w:rsidRDefault="00DB6D4A">
      <w:pPr>
        <w:pStyle w:val="ConsPlusNormal"/>
        <w:jc w:val="right"/>
        <w:outlineLvl w:val="0"/>
      </w:pPr>
      <w:r>
        <w:t>Приложение</w:t>
      </w:r>
    </w:p>
    <w:p w:rsidR="00DB6D4A" w:rsidRDefault="00DB6D4A">
      <w:pPr>
        <w:pStyle w:val="ConsPlusNormal"/>
        <w:jc w:val="right"/>
      </w:pPr>
      <w:r>
        <w:t>к постановлению</w:t>
      </w:r>
    </w:p>
    <w:p w:rsidR="00DB6D4A" w:rsidRDefault="00DB6D4A">
      <w:pPr>
        <w:pStyle w:val="ConsPlusNormal"/>
        <w:jc w:val="right"/>
      </w:pPr>
      <w:r>
        <w:t>Правительства Пензенской области</w:t>
      </w:r>
    </w:p>
    <w:p w:rsidR="00DB6D4A" w:rsidRDefault="00DB6D4A">
      <w:pPr>
        <w:pStyle w:val="ConsPlusNormal"/>
        <w:jc w:val="right"/>
      </w:pPr>
      <w:r>
        <w:t>от 3 декабря 2024 г. N 962-пП</w:t>
      </w:r>
    </w:p>
    <w:p w:rsidR="00DB6D4A" w:rsidRDefault="00DB6D4A">
      <w:pPr>
        <w:pStyle w:val="ConsPlusNormal"/>
        <w:jc w:val="both"/>
      </w:pPr>
    </w:p>
    <w:p w:rsidR="00DB6D4A" w:rsidRDefault="00DB6D4A">
      <w:pPr>
        <w:pStyle w:val="ConsPlusTitle"/>
        <w:jc w:val="center"/>
      </w:pPr>
      <w:bookmarkStart w:id="0" w:name="P30"/>
      <w:bookmarkEnd w:id="0"/>
      <w:r>
        <w:t>ПРЕДЕЛЬНЫЙ РАЗМЕР</w:t>
      </w:r>
    </w:p>
    <w:p w:rsidR="00DB6D4A" w:rsidRDefault="00DB6D4A">
      <w:pPr>
        <w:pStyle w:val="ConsPlusTitle"/>
        <w:jc w:val="center"/>
      </w:pPr>
      <w:r>
        <w:t xml:space="preserve">ПЛАТЫ ЗА ПРОВЕДЕНИЕ ТЕХНИЧЕСКОГО ОСМОТРА </w:t>
      </w:r>
      <w:proofErr w:type="gramStart"/>
      <w:r>
        <w:t>ТРАНСПОРТНЫХ</w:t>
      </w:r>
      <w:proofErr w:type="gramEnd"/>
    </w:p>
    <w:p w:rsidR="00DB6D4A" w:rsidRDefault="00DB6D4A">
      <w:pPr>
        <w:pStyle w:val="ConsPlusTitle"/>
        <w:jc w:val="center"/>
      </w:pPr>
      <w:r>
        <w:t>СРЕДСТВ НА ТЕРРИТОРИИ ПЕНЗЕНСКОЙ ОБЛАСТИ</w:t>
      </w:r>
    </w:p>
    <w:p w:rsidR="00DB6D4A" w:rsidRDefault="00DB6D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949"/>
        <w:gridCol w:w="3005"/>
        <w:gridCol w:w="1531"/>
      </w:tblGrid>
      <w:tr w:rsidR="00DB6D4A">
        <w:tc>
          <w:tcPr>
            <w:tcW w:w="540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49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Тип транспортного средства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Категория транспортных средств (или категория транспортного средства, на базе которого изготовлено специальное транспортное средство)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Предельный размер платы, руб.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5" w:type="dxa"/>
          </w:tcPr>
          <w:p w:rsidR="00DB6D4A" w:rsidRDefault="00DB6D4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B6D4A" w:rsidRDefault="00DB6D4A">
            <w:pPr>
              <w:pStyle w:val="ConsPlusNormal"/>
              <w:jc w:val="center"/>
            </w:pPr>
            <w:r>
              <w:t>4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Транспортные средства, используемые для перевозки пассажиров и имеющие, помимо места водителя, не более 8 мест для сидения, - легковые автомобили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М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1 097,83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 xml:space="preserve">Транспортные средства, используемые для перевозки пассажиров, имеющие, помимо места водителя, более 8 мест для сидения, технически допустимая максимальная </w:t>
            </w:r>
            <w:proofErr w:type="gramStart"/>
            <w:r>
              <w:t>масса</w:t>
            </w:r>
            <w:proofErr w:type="gramEnd"/>
            <w:r>
              <w:t xml:space="preserve"> которых не превышает 5 тонн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М</w:t>
            </w:r>
            <w:proofErr w:type="gramStart"/>
            <w:r>
              <w:rPr>
                <w:vertAlign w:val="subscript"/>
              </w:rPr>
              <w:t>2</w:t>
            </w:r>
            <w:proofErr w:type="gramEnd"/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1 878,78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 xml:space="preserve">Транспортные средства, используемые для перевозки пассажиров, имеющие, помимо места водителя, более 8 мест для сидения, технически допустимая максимальная </w:t>
            </w:r>
            <w:proofErr w:type="gramStart"/>
            <w:r>
              <w:t>масса</w:t>
            </w:r>
            <w:proofErr w:type="gramEnd"/>
            <w:r>
              <w:t xml:space="preserve"> которых превышает 5 тонн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М</w:t>
            </w:r>
            <w:r>
              <w:rPr>
                <w:vertAlign w:val="subscript"/>
              </w:rPr>
              <w:t>3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2 269,78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Транспортные средства, предназначенные для перевозки грузов, имеющие технически допустимую максимальную массу не более 3,5 тонны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1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1 200,96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Транспортные средства, предназначенные для перевозки грузов, имеющие технически допустимую максимальную массу свыше 3,5 тонны, но не более 12 тонн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2 189,22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Транспортные средства, предназначенные для перевозки грузов, имеющие технически допустимую максимальную массу более 12 тонн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3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2 363,24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 xml:space="preserve">Прицепы, технически допустимая максимальная </w:t>
            </w:r>
            <w:proofErr w:type="gramStart"/>
            <w:r>
              <w:t>масса</w:t>
            </w:r>
            <w:proofErr w:type="gramEnd"/>
            <w:r>
              <w:t xml:space="preserve"> которых не более 0,75 тонны, и прицепы, технически </w:t>
            </w:r>
            <w:r>
              <w:lastRenderedPageBreak/>
              <w:t>допустимая максимальная масса которых свыше 0,75 тонны, но не более 3,5 тонны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lastRenderedPageBreak/>
              <w:t>О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>, О</w:t>
            </w:r>
            <w:r>
              <w:rPr>
                <w:vertAlign w:val="subscript"/>
              </w:rPr>
              <w:t>2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905,55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 xml:space="preserve">Прицепы, технически допустимая максимальная </w:t>
            </w:r>
            <w:proofErr w:type="gramStart"/>
            <w:r>
              <w:t>масса</w:t>
            </w:r>
            <w:proofErr w:type="gramEnd"/>
            <w:r>
              <w:t xml:space="preserve"> которых свыше 3,5 тонны, но не более 10 тонн, и прицепы, технически допустимая максимальная масса которых более 10 тонн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О</w:t>
            </w:r>
            <w:r>
              <w:rPr>
                <w:vertAlign w:val="subscript"/>
              </w:rPr>
              <w:t>3</w:t>
            </w:r>
            <w:r>
              <w:t>, О</w:t>
            </w:r>
            <w:proofErr w:type="gramStart"/>
            <w:r>
              <w:rPr>
                <w:vertAlign w:val="subscript"/>
              </w:rPr>
              <w:t>4</w:t>
            </w:r>
            <w:proofErr w:type="gramEnd"/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1 529,66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Мототранспортные средства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385,64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Специальные транспортные средства оперативных служб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М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1 170,88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Специальные транспортные средства оперативных служб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М</w:t>
            </w:r>
            <w:proofErr w:type="gramStart"/>
            <w:r>
              <w:rPr>
                <w:vertAlign w:val="subscript"/>
              </w:rPr>
              <w:t>2</w:t>
            </w:r>
            <w:proofErr w:type="gramEnd"/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1 878,78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Специальные транспортные средства оперативных служб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М</w:t>
            </w:r>
            <w:r>
              <w:rPr>
                <w:vertAlign w:val="subscript"/>
              </w:rPr>
              <w:t>3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2 144,10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Специальные транспортные средства оперативных служб, цистерны, цистерны для перевозки и заправки сжиженных углеводородных газов, фургоны, фургоны, имеющие места для перевозки людей, автоэвакуаторы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1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1 276,15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Специальные транспортные средства оперативных служб, автоэвакуаторы,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2 293,42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Специальные транспортные средства оперативных служб, автоэвакуаторы,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3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2 468,51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Специальные транспортные средства оперативных служб, цистерны, цистерны для перевозки и заправки сжиженных углеводородных газов, транспортные средства для перевозки пищевых продуктов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О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>, О</w:t>
            </w:r>
            <w:r>
              <w:rPr>
                <w:vertAlign w:val="subscript"/>
              </w:rPr>
              <w:t>2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941,00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 xml:space="preserve">Специальные транспортные средства оперативных служб, автоэвакуаторы, </w:t>
            </w:r>
            <w:r>
              <w:lastRenderedPageBreak/>
              <w:t>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lastRenderedPageBreak/>
              <w:t>О</w:t>
            </w:r>
            <w:r>
              <w:rPr>
                <w:vertAlign w:val="subscript"/>
              </w:rPr>
              <w:t>3</w:t>
            </w:r>
            <w:r>
              <w:t>, О</w:t>
            </w:r>
            <w:proofErr w:type="gramStart"/>
            <w:r>
              <w:rPr>
                <w:vertAlign w:val="subscript"/>
              </w:rPr>
              <w:t>4</w:t>
            </w:r>
            <w:proofErr w:type="gramEnd"/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1 599,48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Специальные транспортные средства оперативных служб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424,31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Специализированные транспортные средства, цистерны для перевозки и заправки нефтепродуктов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1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1 388,94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Специализированные транспортные средства, цистерны для перевозки и заправки нефтепродуктов, транспортные средства - фургоны, имеющие места для перевозки людей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2 501,81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Специализированные транспортные средства, фургоны, имеющие места для перевозки людей, цистерны для перевозки и заправки нефтепродуктов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3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2 711,28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Специализированные транспортные средства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О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>, О</w:t>
            </w:r>
            <w:r>
              <w:rPr>
                <w:vertAlign w:val="subscript"/>
              </w:rPr>
              <w:t>2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1 049,49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Специализированные транспортные средства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О</w:t>
            </w:r>
            <w:r>
              <w:rPr>
                <w:vertAlign w:val="subscript"/>
              </w:rPr>
              <w:t>3</w:t>
            </w:r>
            <w:r>
              <w:t>, О</w:t>
            </w:r>
            <w:proofErr w:type="gramStart"/>
            <w:r>
              <w:rPr>
                <w:vertAlign w:val="subscript"/>
              </w:rPr>
              <w:t>4</w:t>
            </w:r>
            <w:proofErr w:type="gramEnd"/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1 772,43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Специальные транспортные средства для коммунального хозяйства и содержания дорог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1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1 313,75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Специальные транспортные средства для коммунального хозяйства и содержания дорог, транспортные средства для перевозки грузов с использованием прицепа-роспуска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2 397,61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Специальные транспортные средства для коммунального хозяйства и содержания дорог, транспортные средства для перевозки грузов с использованием прицепа-роспуска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3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2 606,01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Специальные транспортные средства для коммунального хозяйства и содержания дорог, транспортные средства - цистерны для перевозки и заправки нефтепродуктов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О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>, О</w:t>
            </w:r>
            <w:r>
              <w:rPr>
                <w:vertAlign w:val="subscript"/>
              </w:rPr>
              <w:t>2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1 014,04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 xml:space="preserve">Специальные транспортные средства для коммунального хозяйства и </w:t>
            </w:r>
            <w:r>
              <w:lastRenderedPageBreak/>
              <w:t>содержания дорог, транспортные средства - цистерны для перевозки и заправки нефтепродуктов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lastRenderedPageBreak/>
              <w:t>О</w:t>
            </w:r>
            <w:r>
              <w:rPr>
                <w:vertAlign w:val="subscript"/>
              </w:rPr>
              <w:t>3</w:t>
            </w:r>
            <w:r>
              <w:t>, О</w:t>
            </w:r>
            <w:proofErr w:type="gramStart"/>
            <w:r>
              <w:rPr>
                <w:vertAlign w:val="subscript"/>
              </w:rPr>
              <w:t>4</w:t>
            </w:r>
            <w:proofErr w:type="gramEnd"/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1 668,23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Транспортные средства для перевозки опасных грузов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1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1 575,85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Транспортные средства для перевозки опасных грузов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2 849,85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Транспортные средства для перевозки опасных грузов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3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3 058,25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Транспортные средства для перевозки опасных грузов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О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>, О</w:t>
            </w:r>
            <w:r>
              <w:rPr>
                <w:vertAlign w:val="subscript"/>
              </w:rPr>
              <w:t>2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1 087,09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Транспортные средства для перевозки опасных грузов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О</w:t>
            </w:r>
            <w:r>
              <w:rPr>
                <w:vertAlign w:val="subscript"/>
              </w:rPr>
              <w:t>3</w:t>
            </w:r>
            <w:r>
              <w:t>, О</w:t>
            </w:r>
            <w:proofErr w:type="gramStart"/>
            <w:r>
              <w:rPr>
                <w:vertAlign w:val="subscript"/>
              </w:rPr>
              <w:t>4</w:t>
            </w:r>
            <w:proofErr w:type="gramEnd"/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1 842,25</w:t>
            </w:r>
          </w:p>
        </w:tc>
      </w:tr>
      <w:tr w:rsidR="00DB6D4A">
        <w:tc>
          <w:tcPr>
            <w:tcW w:w="540" w:type="dxa"/>
          </w:tcPr>
          <w:p w:rsidR="00DB6D4A" w:rsidRDefault="00DB6D4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49" w:type="dxa"/>
          </w:tcPr>
          <w:p w:rsidR="00DB6D4A" w:rsidRDefault="00DB6D4A">
            <w:pPr>
              <w:pStyle w:val="ConsPlusNormal"/>
              <w:jc w:val="center"/>
            </w:pPr>
            <w:r>
              <w:t>Транспортные средства городского наземного электрического транспорта</w:t>
            </w:r>
          </w:p>
        </w:tc>
        <w:tc>
          <w:tcPr>
            <w:tcW w:w="3005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DB6D4A" w:rsidRDefault="00DB6D4A">
            <w:pPr>
              <w:pStyle w:val="ConsPlusNormal"/>
              <w:jc w:val="center"/>
            </w:pPr>
            <w:r>
              <w:t>1 001,15</w:t>
            </w:r>
          </w:p>
        </w:tc>
      </w:tr>
    </w:tbl>
    <w:p w:rsidR="00DB6D4A" w:rsidRDefault="00DB6D4A">
      <w:pPr>
        <w:pStyle w:val="ConsPlusNormal"/>
        <w:jc w:val="both"/>
      </w:pPr>
    </w:p>
    <w:p w:rsidR="00DB6D4A" w:rsidRDefault="00DB6D4A">
      <w:pPr>
        <w:pStyle w:val="ConsPlusNormal"/>
        <w:jc w:val="both"/>
      </w:pPr>
    </w:p>
    <w:p w:rsidR="00DB6D4A" w:rsidRDefault="00DB6D4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DB6D4A">
      <w:bookmarkStart w:id="1" w:name="_GoBack"/>
      <w:bookmarkEnd w:id="1"/>
    </w:p>
    <w:sectPr w:rsidR="009D6420" w:rsidSect="00A82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4A"/>
    <w:rsid w:val="001F256F"/>
    <w:rsid w:val="00D65DED"/>
    <w:rsid w:val="00DB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6D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6D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B6D4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6D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6D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B6D4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298&amp;dst=10002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4296&amp;dst=100023" TargetMode="External"/><Relationship Id="rId12" Type="http://schemas.openxmlformats.org/officeDocument/2006/relationships/hyperlink" Target="www.pravo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3190&amp;dst=125" TargetMode="External"/><Relationship Id="rId11" Type="http://schemas.openxmlformats.org/officeDocument/2006/relationships/hyperlink" Target="https://login.consultant.ru/link/?req=doc&amp;base=RLAW021&amp;n=187109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LAW&amp;n=427202&amp;dst=100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201355&amp;dst=10015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2025-02-24T09:57:00Z</dcterms:created>
  <dcterms:modified xsi:type="dcterms:W3CDTF">2025-02-24T09:57:00Z</dcterms:modified>
</cp:coreProperties>
</file>