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C18" w:rsidRDefault="006B0C1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B0C18" w:rsidRDefault="006B0C18">
      <w:pPr>
        <w:pStyle w:val="ConsPlusNormal"/>
        <w:jc w:val="both"/>
        <w:outlineLvl w:val="0"/>
      </w:pPr>
    </w:p>
    <w:p w:rsidR="006B0C18" w:rsidRDefault="006B0C18">
      <w:pPr>
        <w:pStyle w:val="ConsPlusNormal"/>
        <w:outlineLvl w:val="0"/>
      </w:pPr>
      <w:r>
        <w:t>Зарегистрировано в Минюсте России 25 сентября 2023 г. N 75312</w:t>
      </w:r>
    </w:p>
    <w:p w:rsidR="006B0C18" w:rsidRDefault="006B0C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Title"/>
        <w:jc w:val="center"/>
      </w:pPr>
      <w:r>
        <w:t>МИНИСТЕРСТВО ПРИРОДНЫХ РЕСУРСОВ И ЭКОЛОГИИ</w:t>
      </w:r>
    </w:p>
    <w:p w:rsidR="006B0C18" w:rsidRDefault="006B0C18">
      <w:pPr>
        <w:pStyle w:val="ConsPlusTitle"/>
        <w:jc w:val="center"/>
      </w:pPr>
      <w:r>
        <w:t>РОССИЙСКОЙ ФЕДЕРАЦИИ</w:t>
      </w:r>
    </w:p>
    <w:p w:rsidR="006B0C18" w:rsidRDefault="006B0C18">
      <w:pPr>
        <w:pStyle w:val="ConsPlusTitle"/>
        <w:jc w:val="center"/>
      </w:pPr>
    </w:p>
    <w:p w:rsidR="006B0C18" w:rsidRDefault="006B0C18">
      <w:pPr>
        <w:pStyle w:val="ConsPlusTitle"/>
        <w:jc w:val="center"/>
      </w:pPr>
      <w:r>
        <w:t>ПРИКАЗ</w:t>
      </w:r>
    </w:p>
    <w:p w:rsidR="006B0C18" w:rsidRDefault="006B0C18">
      <w:pPr>
        <w:pStyle w:val="ConsPlusTitle"/>
        <w:jc w:val="center"/>
      </w:pPr>
      <w:r>
        <w:t>от 7 июня 2023 г. N 344</w:t>
      </w:r>
    </w:p>
    <w:p w:rsidR="006B0C18" w:rsidRDefault="006B0C18">
      <w:pPr>
        <w:pStyle w:val="ConsPlusTitle"/>
        <w:jc w:val="center"/>
      </w:pPr>
    </w:p>
    <w:p w:rsidR="006B0C18" w:rsidRDefault="006B0C18">
      <w:pPr>
        <w:pStyle w:val="ConsPlusTitle"/>
        <w:jc w:val="center"/>
      </w:pPr>
      <w:r>
        <w:t>ОБ УТВЕРЖДЕНИИ ПОРЯДКА</w:t>
      </w:r>
    </w:p>
    <w:p w:rsidR="006B0C18" w:rsidRDefault="006B0C18">
      <w:pPr>
        <w:pStyle w:val="ConsPlusTitle"/>
        <w:jc w:val="center"/>
      </w:pPr>
      <w:r>
        <w:t>ВЕДЕНИЯ РАЗДЕЛЬНОГО УЧЕТА ЗАТРАТ ПО РЕГУЛИРУЕМЫМ ВИДАМ</w:t>
      </w:r>
    </w:p>
    <w:p w:rsidR="006B0C18" w:rsidRDefault="006B0C18">
      <w:pPr>
        <w:pStyle w:val="ConsPlusTitle"/>
        <w:jc w:val="center"/>
      </w:pPr>
      <w:r>
        <w:t xml:space="preserve">ДЕЯТЕЛЬНОСТИ В ОБЛАСТИ ОБРАЩЕНИЯ С </w:t>
      </w:r>
      <w:proofErr w:type="gramStart"/>
      <w:r>
        <w:t>ТВЕРДЫМИ</w:t>
      </w:r>
      <w:proofErr w:type="gramEnd"/>
      <w:r>
        <w:t xml:space="preserve"> КОММУНАЛЬНЫМИ</w:t>
      </w:r>
    </w:p>
    <w:p w:rsidR="006B0C18" w:rsidRDefault="006B0C18">
      <w:pPr>
        <w:pStyle w:val="ConsPlusTitle"/>
        <w:jc w:val="center"/>
      </w:pPr>
      <w:r>
        <w:t>ОТХОДАМИ И ЕДИНОЙ СИСТЕМЫ КЛАССИФИКАЦИИ ТАКИХ ЗАТРАТ</w:t>
      </w: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пунктом 5 статьи 24.8</w:t>
        </w:r>
      </w:hyperlink>
      <w:r>
        <w:t xml:space="preserve"> Федерального закона от 24 июня 1998 г. N 89-ФЗ "Об отходах производства и потребления", </w:t>
      </w:r>
      <w:hyperlink r:id="rId7">
        <w:r>
          <w:rPr>
            <w:color w:val="0000FF"/>
          </w:rPr>
          <w:t>подпунктом 5.2.67 пункта 5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11 ноября 2015 г. N 1219, приказываю: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0">
        <w:r>
          <w:rPr>
            <w:color w:val="0000FF"/>
          </w:rPr>
          <w:t>порядок</w:t>
        </w:r>
      </w:hyperlink>
      <w:r>
        <w:t xml:space="preserve"> ведения раздельного учета затрат по регулируемым видам деятельности в области обращения с твердыми коммунальными отходами и единой системы классификации таких затрат согласно приложению к настоящему приказу.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2. Настоящий приказ вступает в силу с 1 марта 2024 года и действует до 1 марта 2030 года.</w:t>
      </w: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jc w:val="right"/>
      </w:pPr>
      <w:r>
        <w:t>Министр</w:t>
      </w:r>
    </w:p>
    <w:p w:rsidR="006B0C18" w:rsidRDefault="006B0C18">
      <w:pPr>
        <w:pStyle w:val="ConsPlusNormal"/>
        <w:jc w:val="right"/>
      </w:pPr>
      <w:r>
        <w:t>А.А.КОЗЛОВ</w:t>
      </w: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jc w:val="right"/>
        <w:outlineLvl w:val="0"/>
      </w:pPr>
      <w:r>
        <w:t>Приложение</w:t>
      </w:r>
    </w:p>
    <w:p w:rsidR="006B0C18" w:rsidRDefault="006B0C18">
      <w:pPr>
        <w:pStyle w:val="ConsPlusNormal"/>
        <w:jc w:val="right"/>
      </w:pPr>
      <w:r>
        <w:t>к приказу Минприроды России</w:t>
      </w:r>
    </w:p>
    <w:p w:rsidR="006B0C18" w:rsidRDefault="006B0C18">
      <w:pPr>
        <w:pStyle w:val="ConsPlusNormal"/>
        <w:jc w:val="right"/>
      </w:pPr>
      <w:r>
        <w:t>от 7 июня 2023 г. N 344</w:t>
      </w: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Title"/>
        <w:jc w:val="center"/>
      </w:pPr>
      <w:bookmarkStart w:id="0" w:name="P30"/>
      <w:bookmarkEnd w:id="0"/>
      <w:r>
        <w:t>ПОРЯДОК</w:t>
      </w:r>
    </w:p>
    <w:p w:rsidR="006B0C18" w:rsidRDefault="006B0C18">
      <w:pPr>
        <w:pStyle w:val="ConsPlusTitle"/>
        <w:jc w:val="center"/>
      </w:pPr>
      <w:r>
        <w:t>ВЕДЕНИЯ РАЗДЕЛЬНОГО УЧЕТА ЗАТРАТ ПО РЕГУЛИРУЕМЫМ ВИДАМ</w:t>
      </w:r>
    </w:p>
    <w:p w:rsidR="006B0C18" w:rsidRDefault="006B0C18">
      <w:pPr>
        <w:pStyle w:val="ConsPlusTitle"/>
        <w:jc w:val="center"/>
      </w:pPr>
      <w:r>
        <w:t xml:space="preserve">ДЕЯТЕЛЬНОСТИ В ОБЛАСТИ ОБРАЩЕНИЯ С </w:t>
      </w:r>
      <w:proofErr w:type="gramStart"/>
      <w:r>
        <w:t>ТВЕРДЫМИ</w:t>
      </w:r>
      <w:proofErr w:type="gramEnd"/>
      <w:r>
        <w:t xml:space="preserve"> КОММУНАЛЬНЫМИ</w:t>
      </w:r>
    </w:p>
    <w:p w:rsidR="006B0C18" w:rsidRDefault="006B0C18">
      <w:pPr>
        <w:pStyle w:val="ConsPlusTitle"/>
        <w:jc w:val="center"/>
      </w:pPr>
      <w:r>
        <w:t>ОТХОДАМИ И ЕДИНОЙ СИСТЕМЫ КЛАССИФИКАЦИИ ТАКИХ ЗАТРАТ</w:t>
      </w: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Title"/>
        <w:jc w:val="center"/>
        <w:outlineLvl w:val="1"/>
      </w:pPr>
      <w:r>
        <w:t>I. Общие положения</w:t>
      </w: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ind w:firstLine="540"/>
        <w:jc w:val="both"/>
      </w:pPr>
      <w:r>
        <w:t>1. Ведение раздельного учета затрат оператором по обращению с твердыми коммунальными отходами (далее - оператор) и региональным оператором по обращению с твердыми коммунальными отходами (далее - региональный оператор; при совместном упоминании - регулируемые организации) заключается в сборе и обобщении информации о затратах организации, осуществляющей регулируемые виды деятельности в области обращения с твердыми коммунальными отходами (далее - регулируемые виды деятельности), на основании данных бухгалтерского и статистического учета раздельно по каждому из регулируемых видов деятельности.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proofErr w:type="gramStart"/>
      <w:r>
        <w:t xml:space="preserve">Раздельный учет затрат ведется в соответствии с законодательством Российской Федерации о бухгалтерском учете, </w:t>
      </w:r>
      <w:hyperlink r:id="rId8">
        <w:r>
          <w:rPr>
            <w:color w:val="0000FF"/>
          </w:rPr>
          <w:t>Основами</w:t>
        </w:r>
      </w:hyperlink>
      <w:r>
        <w:t xml:space="preserve"> ценообразования в области обращения с твердыми коммунальными отходами, утвержденными постановлением Правительства Российской Федерации от 30 мая 2016 г. N 484 (далее - Основы ценообразования), и Методическими </w:t>
      </w:r>
      <w:hyperlink r:id="rId9">
        <w:r>
          <w:rPr>
            <w:color w:val="0000FF"/>
          </w:rPr>
          <w:t>указаниями</w:t>
        </w:r>
      </w:hyperlink>
      <w:r>
        <w:t xml:space="preserve"> по расчету регулируемых тарифов в области обращения с твердыми коммунальными отходами, утвержденными приказом Федеральной антимонопольной службы от 21 ноября 2016</w:t>
      </w:r>
      <w:proofErr w:type="gramEnd"/>
      <w:r>
        <w:t xml:space="preserve"> г. N 1638/16 &lt;1&gt; (далее - методические указания).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B0C18" w:rsidRDefault="006B0C18">
      <w:pPr>
        <w:pStyle w:val="ConsPlusNormal"/>
        <w:spacing w:before="220"/>
        <w:ind w:firstLine="540"/>
        <w:jc w:val="both"/>
      </w:pPr>
      <w:proofErr w:type="gramStart"/>
      <w:r>
        <w:t>&lt;1&gt; Зарегистрирован Минюстом России 2 декабря 2016 г., регистрационный N 44544, с изменениями, внесенными приказами Федеральной антимонопольной службы от 1 ноября 2018 г. N 1488/18 (зарегистрирован Минюстом России 3 декабря 2018 г., регистрационный N 52848), от 26 августа 2020 г. регистрационный N 783/20 (зарегистрирован Минюстом России 3 декабря 2020 г., регистрационный N 61250), от 14 сентября 2020 г</w:t>
      </w:r>
      <w:proofErr w:type="gramEnd"/>
      <w:r>
        <w:t>. N 840/20 (зарегистрирован Минюстом России 20 ноября 2020 г., регистрационный N 61013), от 25 февраля 2022 г. N 145/22 (зарегистрирован Минюстом России 11 апреля 2022 г., регистрационный N 68154).</w:t>
      </w: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ind w:firstLine="540"/>
        <w:jc w:val="both"/>
      </w:pPr>
      <w:r>
        <w:t>3. Раздельный учет затрат осуществляется по следующим регулируемым видам деятельности: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1) обработка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2) обезвреживание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3) захоронение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4) оказание услуги по обращению с твердыми коммунальными отходами региональным оператором;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5) энергетическая утилизация твердых коммунальных отходов.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Ведение раздельного учета затрат осуществляется в соответствии с настоящим Порядком на основании данных бухгалтерского учета регулируемой организации, формируемых в соответствии с законодательством Российской Федерации о бухгалтерском учете, с применением синтетических и (или) аналитических счетов (субсчетов), открываемых в соответствии с </w:t>
      </w:r>
      <w:hyperlink r:id="rId10">
        <w:r>
          <w:rPr>
            <w:color w:val="0000FF"/>
          </w:rPr>
          <w:t>Планом</w:t>
        </w:r>
      </w:hyperlink>
      <w:r>
        <w:t xml:space="preserve"> счетов бухгалтерского учета финансово-хозяйственной деятельности организаций, утвержденным приказом Министерства финансов Российской Федерации от 31 октября 2000 г. N 94н &lt;2</w:t>
      </w:r>
      <w:proofErr w:type="gramEnd"/>
      <w:r>
        <w:t xml:space="preserve">&gt;, </w:t>
      </w:r>
      <w:proofErr w:type="gramStart"/>
      <w:r>
        <w:t xml:space="preserve">и Единым </w:t>
      </w:r>
      <w:hyperlink r:id="rId11">
        <w:r>
          <w:rPr>
            <w:color w:val="0000FF"/>
          </w:rPr>
          <w:t>планом</w:t>
        </w:r>
      </w:hyperlink>
      <w:r>
        <w:t xml:space="preserve">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учреждений, утвержденным приказом Министерства финансов Российской Федерации от 1 декабря 2010 г. N 157н &lt;3&gt;, и (или) субконто и (или) иных аналитических признаков, позволяющих производить группировки расходов в соответствии с требованиями </w:t>
      </w:r>
      <w:hyperlink r:id="rId12">
        <w:r>
          <w:rPr>
            <w:color w:val="0000FF"/>
          </w:rPr>
          <w:t>Основ</w:t>
        </w:r>
      </w:hyperlink>
      <w:r>
        <w:t xml:space="preserve"> ценообразования и методических</w:t>
      </w:r>
      <w:proofErr w:type="gramEnd"/>
      <w:r>
        <w:t xml:space="preserve"> </w:t>
      </w:r>
      <w:hyperlink r:id="rId13">
        <w:r>
          <w:rPr>
            <w:color w:val="0000FF"/>
          </w:rPr>
          <w:t>указаний</w:t>
        </w:r>
      </w:hyperlink>
      <w:r>
        <w:t>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B0C18" w:rsidRDefault="006B0C18">
      <w:pPr>
        <w:pStyle w:val="ConsPlusNormal"/>
        <w:spacing w:before="220"/>
        <w:ind w:firstLine="540"/>
        <w:jc w:val="both"/>
      </w:pPr>
      <w:proofErr w:type="gramStart"/>
      <w:r>
        <w:t>&lt;2&gt; Признан не нуждающимся в государственной регистрации письмом Минюста России от 9 ноября 2000 г. N 9558-ЮД, с изменениями, внесенными приказами Минфина России от 7 мая 2003 г. N 38н (признан не нуждающимся в государственной регистрации письмом Минюста России от 16 мая 2003 г. N 07/4892-ЮД), от 18 сентября 2006 г. N 115н (признан не нуждающимся в государственной регистрации</w:t>
      </w:r>
      <w:proofErr w:type="gramEnd"/>
      <w:r>
        <w:t xml:space="preserve"> письмом Минюста России от 27 октября 2006 г. N 01/9423-СВ), от 8 ноября 2010 г. N 142н (признан не нуждающимся в государственной регистрации письмом Минюста России от 10 декабря 2010 г. N 01/28429-ДК).</w:t>
      </w:r>
    </w:p>
    <w:p w:rsidR="006B0C18" w:rsidRDefault="006B0C18">
      <w:pPr>
        <w:pStyle w:val="ConsPlusNormal"/>
        <w:spacing w:before="220"/>
        <w:ind w:firstLine="540"/>
        <w:jc w:val="both"/>
      </w:pPr>
      <w:proofErr w:type="gramStart"/>
      <w:r>
        <w:lastRenderedPageBreak/>
        <w:t>&lt;3&gt; Зарегистрирован Минюстом России 30 декабря 2010 г., регистрационный N 19452, с изменениями, внесенными приказами Минфина России от 12 октября 2012 г. N 134н (зарегистрирован Минюстом России 10 декабря 2012 г., регистрационный N 26060), от 29 августа 2014 г. N 89н (зарегистрирован Минюстом России 20 октября 2014 г., регистрационный N 34361), от 6 августа 2015 г. N 124н (зарегистрирован Минюстом</w:t>
      </w:r>
      <w:proofErr w:type="gramEnd"/>
      <w:r>
        <w:t xml:space="preserve"> </w:t>
      </w:r>
      <w:proofErr w:type="gramStart"/>
      <w:r>
        <w:t>России 27 августа 2015 г., регистрационный N 38719), от 1 марта 2016 г. N 16н (зарегистрирован Минюстом России 25 марта 2016 г., регистрационный N 41570), от 16 ноября 2016 г. N 209н (зарегистрирован Минюстом России 15 декабря 2016 г., регистрационный N 44741), от 27 сентября 2017 г. N 148н (зарегистрирован Минюстом России 17 октября 2017 г., регистрационный N 48573), от</w:t>
      </w:r>
      <w:proofErr w:type="gramEnd"/>
      <w:r>
        <w:t xml:space="preserve"> </w:t>
      </w:r>
      <w:proofErr w:type="gramStart"/>
      <w:r>
        <w:t>31 марта 2018 г. N 64н (зарегистрирован Минюстом России 26 апреля 2018 г., регистрационный N 50910), от 28 декабря 2018 г. N 298н (зарегистрирован Минюстом России 29 января 2019 г., регистрационный N 53597), от 14 сентября 2020 г. N 198н (зарегистрирован Минюстом России 5 октября 2020 г., регистрационный N 60238), от 21 декабря 2022 г. N 192н (зарегистрирован Минюстом России</w:t>
      </w:r>
      <w:proofErr w:type="gramEnd"/>
      <w:r>
        <w:t xml:space="preserve"> </w:t>
      </w:r>
      <w:proofErr w:type="gramStart"/>
      <w:r>
        <w:t>11 апреля 2023 г., регистрационный N 72978), от 27 апреля 2023 г. N 56н (зарегистрирован Минюстом России 21 июня 2023 г., регистрационный N 73932).</w:t>
      </w:r>
      <w:proofErr w:type="gramEnd"/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ind w:firstLine="540"/>
        <w:jc w:val="both"/>
      </w:pPr>
      <w:r>
        <w:t>Регулируемая организация, одновременно осуществляющая несколько регулируемых видов деятельности, ведет раздельный учет затрат по каждому регулируемому виду деятельности.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В случае, предусмотренном </w:t>
      </w:r>
      <w:hyperlink r:id="rId14">
        <w:r>
          <w:rPr>
            <w:color w:val="0000FF"/>
          </w:rPr>
          <w:t>пунктом 2.1 статьи 24.8</w:t>
        </w:r>
      </w:hyperlink>
      <w:r>
        <w:t xml:space="preserve"> Федерального закона от 24 июня 1998 г. N 89-ФЗ "Об отходах производства и потребления", раздельный учет затрат осуществляется отдельно в отношении деятельности по обработке твердых коммунальных отходов и деятельности по захоронению твердых коммунальных отходов.</w:t>
      </w:r>
    </w:p>
    <w:p w:rsidR="006B0C18" w:rsidRDefault="006B0C18">
      <w:pPr>
        <w:pStyle w:val="ConsPlusNormal"/>
        <w:spacing w:before="220"/>
        <w:ind w:firstLine="540"/>
        <w:jc w:val="both"/>
      </w:pPr>
      <w:proofErr w:type="gramStart"/>
      <w:r>
        <w:t xml:space="preserve">В случае, предусмотренном </w:t>
      </w:r>
      <w:hyperlink r:id="rId15">
        <w:r>
          <w:rPr>
            <w:color w:val="0000FF"/>
          </w:rPr>
          <w:t>пунктом 24.1</w:t>
        </w:r>
      </w:hyperlink>
      <w:r>
        <w:t xml:space="preserve"> Основ ценообразования, осуществляется раздельный учет затрат в отношении производства грунта, пригодного для технических целей и используемого для промежуточной изоляции слоев твердых коммунальных отходов, на объекте обращения с твердыми коммунальными отходами, в состав которого входят в том числе объект захоронения твердых коммунальных отходов и объект утилизации твердых коммунальных отходов, на котором осуществляется производство такого грунта путем</w:t>
      </w:r>
      <w:proofErr w:type="gramEnd"/>
      <w:r>
        <w:t xml:space="preserve"> компостирования.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5. Раздельный учет затрат осуществляется в отношении фактических размеров затрат по каждому регулируемому виду деятельности.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6. В случае, если предельные тарифы в области обращения с твердыми коммунальными отходами применительно к одному регулируемому виду деятельности установлены дифференцировано, учет затрат ведется раздельно исходя из принятой дифференциации: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1) по видам твердых коммунальных отходов (отходы из жилищ несортированные (исключая крупногабаритные), отходы из жилищ крупногабаритные, другие виды отходов, определенные органом исполнительной власти субъекта Российской Федерации) и классам опасности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2) по муниципальным образованиям;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3) по технологическим особенностям в соответствии с территориальной схемой обращения с отходами, утвержденной в субъекте Российской Федерации, в котором расположена зона деятельности регионального оператора.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7. Регулируемые организации ведут раздельный учет затрат на реализацию инвестиционных программ в области обращения с твердыми коммунальными отходами и на реализацию производственных программ в области обращения с твердыми коммунальными отходами.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8. Регулируемые организации, осуществляющие регулируемые виды деятельности по обработке, обезвреживанию, захоронению, энергетической утилизации твердых коммунальных отходов, ведут раздельный учет затрат с дифференциацией расходов и объема и (или) массы </w:t>
      </w:r>
      <w:r>
        <w:lastRenderedPageBreak/>
        <w:t>твердых коммунальных отходов, обращение с которыми они осуществляют, по объектам обработки, обезвреживания, энергетической утилизации, захоронения твердых коммунальных отходов.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Региональные операторы ведут раздельный учет затрат по зонам деятельности региональных операторов.</w:t>
      </w:r>
    </w:p>
    <w:p w:rsidR="006B0C18" w:rsidRDefault="006B0C18">
      <w:pPr>
        <w:pStyle w:val="ConsPlusNormal"/>
        <w:spacing w:before="220"/>
        <w:ind w:firstLine="540"/>
        <w:jc w:val="both"/>
      </w:pPr>
      <w:bookmarkStart w:id="1" w:name="P64"/>
      <w:bookmarkEnd w:id="1"/>
      <w:r>
        <w:t xml:space="preserve">9. </w:t>
      </w:r>
      <w:proofErr w:type="gramStart"/>
      <w:r>
        <w:t>Разделение расходов по основным средствам (включая арендованные), по незавершенному строительству по регулируемым видам деятельности, по объектам обращения с твердыми коммунальными отходами и по зонам деятельности регионального оператора осуществляется исходя из отнесения объектов основных средств к соответствующему регулируемому виду деятельности, объекту по обращению с твердыми коммунальными отходами, зоне деятельности регионального оператора по производственному назначению объекта основных средств.</w:t>
      </w:r>
      <w:proofErr w:type="gramEnd"/>
    </w:p>
    <w:p w:rsidR="006B0C18" w:rsidRDefault="006B0C18">
      <w:pPr>
        <w:pStyle w:val="ConsPlusNormal"/>
        <w:spacing w:before="220"/>
        <w:ind w:firstLine="540"/>
        <w:jc w:val="both"/>
      </w:pPr>
      <w:r>
        <w:t>В случае невозможности отнесения объекта основных средств по производственному назначению к одному из регулируемых видов деятельности, объекту обращения с твердыми коммунальными отходами, зоне деятельности регионального оператора распределение его стоимости осуществляется в соответствии с учетной политикой регулируемой организации.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10. Отнесение дебиторской задолженности по расчетам с покупателями и заказчиками (включая ее списание в убыток) к соответствующим регулируемым видам деятельности, объекту обращения с твердыми коммунальными отходами, зоне деятельности регионального оператора осуществляется исходя из договоров по соответствующему регулируемому виду деятельности.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11. Отнесение заемных сре</w:t>
      </w:r>
      <w:proofErr w:type="gramStart"/>
      <w:r>
        <w:t>дств к с</w:t>
      </w:r>
      <w:proofErr w:type="gramEnd"/>
      <w:r>
        <w:t>оответствующим регулируемым видам деятельности, объекту обращения с твердыми коммунальными отходами, зоне деятельности регионального оператора осуществляется исходя из целевого назначения привлеченных средств.</w:t>
      </w:r>
    </w:p>
    <w:p w:rsidR="006B0C18" w:rsidRDefault="006B0C18">
      <w:pPr>
        <w:pStyle w:val="ConsPlusNormal"/>
        <w:spacing w:before="220"/>
        <w:ind w:firstLine="540"/>
        <w:jc w:val="both"/>
      </w:pPr>
      <w:bookmarkStart w:id="2" w:name="P68"/>
      <w:bookmarkEnd w:id="2"/>
      <w:r>
        <w:t xml:space="preserve">12. Для целей настоящего Порядка расходы регулируемой организации подразделяются </w:t>
      </w:r>
      <w:proofErr w:type="gramStart"/>
      <w:r>
        <w:t>на</w:t>
      </w:r>
      <w:proofErr w:type="gramEnd"/>
      <w:r>
        <w:t>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расходы, непосредственно связанные с оказанием услуг, относимые на конкретный вид оказываемых услуг и (или) соответствующую зону деятельности регионального оператора. </w:t>
      </w:r>
      <w:proofErr w:type="gramStart"/>
      <w:r>
        <w:t>Такие расходы распределяются по соответствующим регулируемым видам деятельности, объектам обращения с твердыми коммунальными отходами, зонам деятельности регионального оператора;</w:t>
      </w:r>
      <w:proofErr w:type="gramEnd"/>
    </w:p>
    <w:p w:rsidR="006B0C18" w:rsidRDefault="006B0C18">
      <w:pPr>
        <w:pStyle w:val="ConsPlusNormal"/>
        <w:spacing w:before="220"/>
        <w:ind w:firstLine="540"/>
        <w:jc w:val="both"/>
      </w:pPr>
      <w:r>
        <w:t>расходы, которые не могут быть непосредственно отнесены на оказание конкретного вида услуг, соответствующий объект обращения с твердыми коммунальными отходами, соответствующую зону деятельности регионального оператора, и распределение которых производится в соответствии с учетной политикой регулируемой организации.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13. Разделение по соответствующим регулируемым видам деятельности, объектам обращения с твердыми коммунальными отходами, зонам деятельности регионального оператора финансовых результатов регулируемой организации осуществляется расчетным путем исходя из величины расходов и принципов ведения раздельного учета затрат, предусмотренных </w:t>
      </w:r>
      <w:hyperlink w:anchor="P64">
        <w:r>
          <w:rPr>
            <w:color w:val="0000FF"/>
          </w:rPr>
          <w:t>пунктами 9</w:t>
        </w:r>
      </w:hyperlink>
      <w:r>
        <w:t xml:space="preserve"> - </w:t>
      </w:r>
      <w:hyperlink w:anchor="P68">
        <w:r>
          <w:rPr>
            <w:color w:val="0000FF"/>
          </w:rPr>
          <w:t>12</w:t>
        </w:r>
      </w:hyperlink>
      <w:r>
        <w:t xml:space="preserve"> настоящего Порядка.</w:t>
      </w: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Title"/>
        <w:jc w:val="center"/>
        <w:outlineLvl w:val="1"/>
      </w:pPr>
      <w:r>
        <w:t>II. Единая система классификации затрат</w:t>
      </w: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ind w:firstLine="540"/>
        <w:jc w:val="both"/>
      </w:pPr>
      <w:r>
        <w:t xml:space="preserve">14. В случае установления предельных тарифов на обработку, обезвреживание, энергетическую утилизацию, захоронение твердых коммунальных отходов методом экономически обоснованных расходов (затрат) данные раздельного учета затрат должны обеспечивать распределение затрат по следующим группам расходов в соответствии с </w:t>
      </w:r>
      <w:hyperlink r:id="rId16">
        <w:r>
          <w:rPr>
            <w:color w:val="0000FF"/>
          </w:rPr>
          <w:t>Основами</w:t>
        </w:r>
      </w:hyperlink>
      <w:r>
        <w:t xml:space="preserve"> ценообразования и методическими </w:t>
      </w:r>
      <w:hyperlink r:id="rId17">
        <w:r>
          <w:rPr>
            <w:color w:val="0000FF"/>
          </w:rPr>
          <w:t>указаниями</w:t>
        </w:r>
      </w:hyperlink>
      <w:r>
        <w:t>:</w:t>
      </w:r>
    </w:p>
    <w:p w:rsidR="006B0C18" w:rsidRDefault="006B0C18">
      <w:pPr>
        <w:pStyle w:val="ConsPlusNormal"/>
        <w:spacing w:before="220"/>
        <w:ind w:firstLine="540"/>
        <w:jc w:val="both"/>
      </w:pPr>
      <w:bookmarkStart w:id="3" w:name="P76"/>
      <w:bookmarkEnd w:id="3"/>
      <w:r>
        <w:lastRenderedPageBreak/>
        <w:t>1) производственные расходы, в том числе: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приобретение сырья и материалов и их хранение;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приобретаемые топливо, электрическую энергию (мощность), тепловую энергию (мощность), другие виды энергетических ресурсов (далее - энергетические ресурсы);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оплату выполняемых сторонними организациями или индивидуальными предпринимателями работ и (или) услуг, связанных с эксплуатацией объектов, используемых для обработки, обезвреживания, захоронения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оплату труда и отчисления на социальные нужды основного производственного персонала;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уплату процентов по займам и кредитам, не учитываемые при определении налоговой базы по налогу на прибыль;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общехозяйственные расходы;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прочие производственные расходы, определяемые в соответствии с </w:t>
      </w:r>
      <w:hyperlink r:id="rId18">
        <w:r>
          <w:rPr>
            <w:color w:val="0000FF"/>
          </w:rPr>
          <w:t>подпунктом 7 пункта 17</w:t>
        </w:r>
      </w:hyperlink>
      <w:r>
        <w:t xml:space="preserve"> методических указаний;</w:t>
      </w:r>
    </w:p>
    <w:p w:rsidR="006B0C18" w:rsidRDefault="006B0C18">
      <w:pPr>
        <w:pStyle w:val="ConsPlusNormal"/>
        <w:spacing w:before="220"/>
        <w:ind w:firstLine="540"/>
        <w:jc w:val="both"/>
      </w:pPr>
      <w:bookmarkStart w:id="4" w:name="P84"/>
      <w:bookmarkEnd w:id="4"/>
      <w:r>
        <w:t>2) ремонтные расходы, в том числе: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текущий ремонт объектов, используемых для обработки, обезвреживания, энергетической утилизации, захоронения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капитальный ремонт объектов, используемых для обработки, обезвреживания, энергетической утилизации, захоронения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оплату труда и отчисления на социальные нужды ремонтного персонала;</w:t>
      </w:r>
    </w:p>
    <w:p w:rsidR="006B0C18" w:rsidRDefault="006B0C18">
      <w:pPr>
        <w:pStyle w:val="ConsPlusNormal"/>
        <w:spacing w:before="220"/>
        <w:ind w:firstLine="540"/>
        <w:jc w:val="both"/>
      </w:pPr>
      <w:bookmarkStart w:id="5" w:name="P88"/>
      <w:bookmarkEnd w:id="5"/>
      <w:r>
        <w:t>3) административные расходы, в том числе: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оплату товаров, работ и (или) услуг, поставляемых и (или) выполняемых по договорам сторонними организациями или индивидуальными предпринимателями;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оплату труда и отчисления на социальные нужды административно-управленческого персонала;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арендная плата, лизинговые платежи, не связанные с арендой (лизингом) объектов, используемых для обработки, обезвреживания, энергетической утилизации захоронения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служебные командировки;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обучение персонала;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обязательное страхование производственных объектов в случаях, предусмотренных законодательством Российской Федерации;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прочие административные расходы, определяемые в соответствии с </w:t>
      </w:r>
      <w:hyperlink r:id="rId19">
        <w:r>
          <w:rPr>
            <w:color w:val="0000FF"/>
          </w:rPr>
          <w:t>подпунктом 7 пункта 19</w:t>
        </w:r>
      </w:hyperlink>
      <w:r>
        <w:t xml:space="preserve"> методических указаний;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4) сбытовые расходы, определяемые в соответствии в соответствии с </w:t>
      </w:r>
      <w:hyperlink r:id="rId20">
        <w:r>
          <w:rPr>
            <w:color w:val="0000FF"/>
          </w:rPr>
          <w:t>пунктом 33</w:t>
        </w:r>
      </w:hyperlink>
      <w:r>
        <w:t xml:space="preserve"> Основ ценообразования;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5) расходы на амортизацию основных средств и нематериальных активов;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lastRenderedPageBreak/>
        <w:t>6) расходы на арендную плату, лизинговые платежи, концессионную плату;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7) расходы, связанные с оплатой налогов, сборов и других обязательных платежей;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8) расходы на оплату товаров, работ и услуг других операторов;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9) расходы на плату за негативное воздействие на окружающую среду при размещении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bookmarkStart w:id="6" w:name="P102"/>
      <w:bookmarkEnd w:id="6"/>
      <w:r>
        <w:t>10) нормативная прибыль, включающая: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капитальные вложения (инвестиции), определяемые в экономически обоснованном размере с учетом утвержденных инвестиционных программ регулируемых организаций;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средства на возврат займов и кредитов, привлекаемых на реализацию мероприятий инвестиционной программы регулируемой организации, определяемые в экономически обоснованном размере с учетом утвержденных инвестиционных программ регулируемых организаций;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экономически обоснованные расходы на выплаты, предусмотренные коллективными договорами, не учитываемые при определении налоговой базы налога на прибыль (расходов, относимых на прибыль после налогообложения) в соответствии с Налоговым </w:t>
      </w:r>
      <w:hyperlink r:id="rId21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15; В случае установления предельных тарифов на обработку, обезвреживание, энергетическую утилизацию, захоронение твердых коммунальных отходов методом индексации данные раздельного учета затрат должны обеспечивать распределение затрат по следующим группам расходов в соответствии с </w:t>
      </w:r>
      <w:hyperlink r:id="rId22">
        <w:r>
          <w:rPr>
            <w:color w:val="0000FF"/>
          </w:rPr>
          <w:t>Основами</w:t>
        </w:r>
      </w:hyperlink>
      <w:r>
        <w:t xml:space="preserve"> ценообразования и методическими </w:t>
      </w:r>
      <w:hyperlink r:id="rId23">
        <w:r>
          <w:rPr>
            <w:color w:val="0000FF"/>
          </w:rPr>
          <w:t>указаниями</w:t>
        </w:r>
      </w:hyperlink>
      <w:r>
        <w:t>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1) операционные расходы, в том числе: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производственные расходы, определяемые в соответствии с </w:t>
      </w:r>
      <w:hyperlink w:anchor="P76">
        <w:r>
          <w:rPr>
            <w:color w:val="0000FF"/>
          </w:rPr>
          <w:t>подпунктом 1 пункта 14</w:t>
        </w:r>
      </w:hyperlink>
      <w:r>
        <w:t xml:space="preserve"> настоящего Порядка, за исключением расходов на энергетические ресурсы и расходов на уплату процентов по займам и кредитам, не учитываемым при определении налоговой базы по налогу на прибыль;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ремонтные расходы, определяемые в соответствии с </w:t>
      </w:r>
      <w:hyperlink w:anchor="P84">
        <w:r>
          <w:rPr>
            <w:color w:val="0000FF"/>
          </w:rPr>
          <w:t>подпунктом 2 пункта 14</w:t>
        </w:r>
      </w:hyperlink>
      <w:r>
        <w:t xml:space="preserve"> настоящего Порядка;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административные расходы, определяемые в соответствии с </w:t>
      </w:r>
      <w:hyperlink w:anchor="P88">
        <w:r>
          <w:rPr>
            <w:color w:val="0000FF"/>
          </w:rPr>
          <w:t>подпунктом 3 пункта 14</w:t>
        </w:r>
      </w:hyperlink>
      <w:r>
        <w:t xml:space="preserve"> настоящего Порядка;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2) неподконтрольные расходы, в том числе: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оплату товаров (услуг, работ), приобретаемых у других организаций, осуществляющих регулируемые виды деятельности;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уплату налогов, сборов и других обязательных платежей;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арендную плату, концессионную плату и лизинговые платежи;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сбытовые расходы, определяемые в соответствии в соответствии с </w:t>
      </w:r>
      <w:hyperlink r:id="rId24">
        <w:r>
          <w:rPr>
            <w:color w:val="0000FF"/>
          </w:rPr>
          <w:t>пунктом 33</w:t>
        </w:r>
      </w:hyperlink>
      <w:r>
        <w:t xml:space="preserve"> Основ ценообразования;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экономически обоснованные расходы, не учтенные органом регулирования тарифов при установлении предельных тарифов в прошлые периоды регулирования, компенсация которых </w:t>
      </w:r>
      <w:r>
        <w:lastRenderedPageBreak/>
        <w:t xml:space="preserve">предусмотрена </w:t>
      </w:r>
      <w:hyperlink r:id="rId25">
        <w:r>
          <w:rPr>
            <w:color w:val="0000FF"/>
          </w:rPr>
          <w:t>пунктом 11</w:t>
        </w:r>
      </w:hyperlink>
      <w:r>
        <w:t xml:space="preserve"> Основ ценообразования;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выплаты по договорам займа и кредитным договорам, включая возврат сумм основного долга и процентов по ним, за исключением средств на возврат займов и кредитов, процентов по ним, предусмотренных на реализацию инвестиционных программ;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плату за негативное воздействие на окружающую среду при размещении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3) расходы на приобретение энергетических ресурсов;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4) расходы на амортизацию основных средств и нематериальных активов;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5) нормативная прибыль, определяемая в соответствии с </w:t>
      </w:r>
      <w:hyperlink w:anchor="P102">
        <w:r>
          <w:rPr>
            <w:color w:val="0000FF"/>
          </w:rPr>
          <w:t>подпунктом 10 пункта 14</w:t>
        </w:r>
      </w:hyperlink>
      <w:r>
        <w:t xml:space="preserve"> настоящего Порядка.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16. В случае установления предельных тарифов на обработку, обезвреживание, энергетическую утилизацию, захоронение твердых коммунальных отходов методом доходности инвестированного капитала данные раздельного учета затрат должны обеспечивать распределение затрат по следующим группам расходов в соответствии с </w:t>
      </w:r>
      <w:hyperlink r:id="rId26">
        <w:r>
          <w:rPr>
            <w:color w:val="0000FF"/>
          </w:rPr>
          <w:t>Основами</w:t>
        </w:r>
      </w:hyperlink>
      <w:r>
        <w:t xml:space="preserve"> ценообразования и методическими </w:t>
      </w:r>
      <w:hyperlink r:id="rId27">
        <w:r>
          <w:rPr>
            <w:color w:val="0000FF"/>
          </w:rPr>
          <w:t>указаниями</w:t>
        </w:r>
      </w:hyperlink>
      <w:r>
        <w:t>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1) операционные расходы, в том числе: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производственные расходы, определяемые в соответствии с </w:t>
      </w:r>
      <w:hyperlink w:anchor="P76">
        <w:r>
          <w:rPr>
            <w:color w:val="0000FF"/>
          </w:rPr>
          <w:t>подпунктом 1 пункта 14</w:t>
        </w:r>
      </w:hyperlink>
      <w:r>
        <w:t xml:space="preserve"> настоящего Порядка, за исключением расходов на энергетические ресурсы;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ремонтные расходы, определяемые в соответствии с </w:t>
      </w:r>
      <w:hyperlink w:anchor="P84">
        <w:r>
          <w:rPr>
            <w:color w:val="0000FF"/>
          </w:rPr>
          <w:t>подпунктом 2 пункта 14</w:t>
        </w:r>
      </w:hyperlink>
      <w:r>
        <w:t xml:space="preserve"> настоящего Порядка;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административные расходы, определяемые в соответствии с </w:t>
      </w:r>
      <w:hyperlink w:anchor="P88">
        <w:r>
          <w:rPr>
            <w:color w:val="0000FF"/>
          </w:rPr>
          <w:t>подпунктом 3 пункта 14</w:t>
        </w:r>
      </w:hyperlink>
      <w:r>
        <w:t xml:space="preserve"> настоящего Порядка;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2) неподконтрольные расходы, в том числе: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оплату товаров (услуг, работ), приобретаемых у других организаций, осуществляющих регулируемые виды деятельности;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уплату налогов, сборов и других обязательных платежей;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арендную плату, концессионную плату и лизинговые платежи;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сбытовые расходы, определяемые в соответствии в соответствии с </w:t>
      </w:r>
      <w:hyperlink r:id="rId28">
        <w:r>
          <w:rPr>
            <w:color w:val="0000FF"/>
          </w:rPr>
          <w:t>пунктом 33</w:t>
        </w:r>
      </w:hyperlink>
      <w:r>
        <w:t xml:space="preserve"> Основ ценообразования;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экономически обоснованные расходы, не учтенные органом регулирования тарифов при установлении предельных тарифов в прошлые периоды регулирования, компенсация которых предусмотрена </w:t>
      </w:r>
      <w:hyperlink r:id="rId29">
        <w:r>
          <w:rPr>
            <w:color w:val="0000FF"/>
          </w:rPr>
          <w:t>пунктом 11</w:t>
        </w:r>
      </w:hyperlink>
      <w:r>
        <w:t xml:space="preserve"> Основ ценообразования;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плату за негативное воздействие на окружающую среду при размещении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3) расходы на приобретение энергетических ресурсов;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4) возврат инвестированного капитала;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5) доход на инвестированный капитал.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lastRenderedPageBreak/>
        <w:t xml:space="preserve">17. В случае установления предельного единого тарифа на услугу регионального оператора данные раздельного учета затрат должны обеспечивать распределение затрат по следующим группам расходов в соответствии с </w:t>
      </w:r>
      <w:hyperlink r:id="rId30">
        <w:r>
          <w:rPr>
            <w:color w:val="0000FF"/>
          </w:rPr>
          <w:t>Основами</w:t>
        </w:r>
      </w:hyperlink>
      <w:r>
        <w:t xml:space="preserve"> ценообразования и методическими </w:t>
      </w:r>
      <w:hyperlink r:id="rId31">
        <w:r>
          <w:rPr>
            <w:color w:val="0000FF"/>
          </w:rPr>
          <w:t>указаниями</w:t>
        </w:r>
      </w:hyperlink>
      <w:r>
        <w:t>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1) собственные расходы регионального оператора, в том числе: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транспортирование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сбытовые расходы регионального оператора, определяемые в соответствии с </w:t>
      </w:r>
      <w:hyperlink r:id="rId32">
        <w:r>
          <w:rPr>
            <w:color w:val="0000FF"/>
          </w:rPr>
          <w:t>пунктом 89</w:t>
        </w:r>
      </w:hyperlink>
      <w:r>
        <w:t xml:space="preserve"> методических рекомендаций;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 xml:space="preserve">- расходы на оказание комплексной услуги по обращению с твердыми отходами в случаях, предусмотренных </w:t>
      </w:r>
      <w:hyperlink r:id="rId3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сентября 2016 г. N 881 "О проведении уполномоченными органами исполнительной </w:t>
      </w:r>
      <w:proofErr w:type="gramStart"/>
      <w:r>
        <w:t>власти субъектов Российской Федерации конкурсного отбора региональных операторов</w:t>
      </w:r>
      <w:proofErr w:type="gramEnd"/>
      <w:r>
        <w:t xml:space="preserve"> по обращению с твердыми коммунальными отходами" для субъектов Российской Федерации - городов федерального значения;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заключение и обслуживание договоров с собственниками твердых коммунальных отходов и операторами;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приобретение контейнеров и бункеров для накопления твердых коммунальных отходов;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- расходы на содержание контейнеров и бункеров для накопления твердых коммунальных отходов.</w:t>
      </w:r>
    </w:p>
    <w:p w:rsidR="006B0C18" w:rsidRDefault="006B0C18">
      <w:pPr>
        <w:pStyle w:val="ConsPlusNormal"/>
        <w:spacing w:before="220"/>
        <w:ind w:firstLine="540"/>
        <w:jc w:val="both"/>
      </w:pPr>
      <w:r>
        <w:t>2) расходы на обработку, обезвреживание, энергетическую утилизацию, захоронение твердых коммунальных отходов.</w:t>
      </w: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jc w:val="both"/>
      </w:pPr>
    </w:p>
    <w:p w:rsidR="006B0C18" w:rsidRDefault="006B0C1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6420" w:rsidRDefault="006B0C18">
      <w:bookmarkStart w:id="7" w:name="_GoBack"/>
      <w:bookmarkEnd w:id="7"/>
    </w:p>
    <w:sectPr w:rsidR="009D6420" w:rsidSect="0038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18"/>
    <w:rsid w:val="001F256F"/>
    <w:rsid w:val="006B0C18"/>
    <w:rsid w:val="00D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0C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B0C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B0C1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0C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B0C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B0C1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388&amp;dst=100012" TargetMode="External"/><Relationship Id="rId13" Type="http://schemas.openxmlformats.org/officeDocument/2006/relationships/hyperlink" Target="https://login.consultant.ru/link/?req=doc&amp;base=LAW&amp;n=414372&amp;dst=100011" TargetMode="External"/><Relationship Id="rId18" Type="http://schemas.openxmlformats.org/officeDocument/2006/relationships/hyperlink" Target="https://login.consultant.ru/link/?req=doc&amp;base=LAW&amp;n=414372&amp;dst=66" TargetMode="External"/><Relationship Id="rId26" Type="http://schemas.openxmlformats.org/officeDocument/2006/relationships/hyperlink" Target="https://login.consultant.ru/link/?req=doc&amp;base=LAW&amp;n=487388&amp;dst=10001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83130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96970&amp;dst=47" TargetMode="External"/><Relationship Id="rId12" Type="http://schemas.openxmlformats.org/officeDocument/2006/relationships/hyperlink" Target="https://login.consultant.ru/link/?req=doc&amp;base=LAW&amp;n=487388&amp;dst=100012" TargetMode="External"/><Relationship Id="rId17" Type="http://schemas.openxmlformats.org/officeDocument/2006/relationships/hyperlink" Target="https://login.consultant.ru/link/?req=doc&amp;base=LAW&amp;n=414372&amp;dst=100011" TargetMode="External"/><Relationship Id="rId25" Type="http://schemas.openxmlformats.org/officeDocument/2006/relationships/hyperlink" Target="https://login.consultant.ru/link/?req=doc&amp;base=LAW&amp;n=487388&amp;dst=100056" TargetMode="External"/><Relationship Id="rId33" Type="http://schemas.openxmlformats.org/officeDocument/2006/relationships/hyperlink" Target="https://login.consultant.ru/link/?req=doc&amp;base=LAW&amp;n=40244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87388&amp;dst=100012" TargetMode="External"/><Relationship Id="rId20" Type="http://schemas.openxmlformats.org/officeDocument/2006/relationships/hyperlink" Target="https://login.consultant.ru/link/?req=doc&amp;base=LAW&amp;n=487388&amp;dst=79" TargetMode="External"/><Relationship Id="rId29" Type="http://schemas.openxmlformats.org/officeDocument/2006/relationships/hyperlink" Target="https://login.consultant.ru/link/?req=doc&amp;base=LAW&amp;n=487388&amp;dst=10005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4631&amp;dst=443" TargetMode="External"/><Relationship Id="rId11" Type="http://schemas.openxmlformats.org/officeDocument/2006/relationships/hyperlink" Target="https://login.consultant.ru/link/?req=doc&amp;base=LAW&amp;n=450185&amp;dst=520" TargetMode="External"/><Relationship Id="rId24" Type="http://schemas.openxmlformats.org/officeDocument/2006/relationships/hyperlink" Target="https://login.consultant.ru/link/?req=doc&amp;base=LAW&amp;n=487388&amp;dst=79" TargetMode="External"/><Relationship Id="rId32" Type="http://schemas.openxmlformats.org/officeDocument/2006/relationships/hyperlink" Target="https://login.consultant.ru/link/?req=doc&amp;base=LAW&amp;n=414372&amp;dst=100559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87388&amp;dst=118" TargetMode="External"/><Relationship Id="rId23" Type="http://schemas.openxmlformats.org/officeDocument/2006/relationships/hyperlink" Target="https://login.consultant.ru/link/?req=doc&amp;base=LAW&amp;n=414372&amp;dst=100011" TargetMode="External"/><Relationship Id="rId28" Type="http://schemas.openxmlformats.org/officeDocument/2006/relationships/hyperlink" Target="https://login.consultant.ru/link/?req=doc&amp;base=LAW&amp;n=487388&amp;dst=79" TargetMode="External"/><Relationship Id="rId10" Type="http://schemas.openxmlformats.org/officeDocument/2006/relationships/hyperlink" Target="https://login.consultant.ru/link/?req=doc&amp;base=LAW&amp;n=107972&amp;dst=100010" TargetMode="External"/><Relationship Id="rId19" Type="http://schemas.openxmlformats.org/officeDocument/2006/relationships/hyperlink" Target="https://login.consultant.ru/link/?req=doc&amp;base=LAW&amp;n=414372&amp;dst=100081" TargetMode="External"/><Relationship Id="rId31" Type="http://schemas.openxmlformats.org/officeDocument/2006/relationships/hyperlink" Target="https://login.consultant.ru/link/?req=doc&amp;base=LAW&amp;n=414372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14372&amp;dst=100011" TargetMode="External"/><Relationship Id="rId14" Type="http://schemas.openxmlformats.org/officeDocument/2006/relationships/hyperlink" Target="https://login.consultant.ru/link/?req=doc&amp;base=LAW&amp;n=494631&amp;dst=594" TargetMode="External"/><Relationship Id="rId22" Type="http://schemas.openxmlformats.org/officeDocument/2006/relationships/hyperlink" Target="https://login.consultant.ru/link/?req=doc&amp;base=LAW&amp;n=487388&amp;dst=100012" TargetMode="External"/><Relationship Id="rId27" Type="http://schemas.openxmlformats.org/officeDocument/2006/relationships/hyperlink" Target="https://login.consultant.ru/link/?req=doc&amp;base=LAW&amp;n=414372&amp;dst=100011" TargetMode="External"/><Relationship Id="rId30" Type="http://schemas.openxmlformats.org/officeDocument/2006/relationships/hyperlink" Target="https://login.consultant.ru/link/?req=doc&amp;base=LAW&amp;n=487388&amp;dst=100012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3454</Words>
  <Characters>19694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2025-02-24T10:03:00Z</dcterms:created>
  <dcterms:modified xsi:type="dcterms:W3CDTF">2025-02-24T10:03:00Z</dcterms:modified>
</cp:coreProperties>
</file>