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438" w:rsidRDefault="00427438">
      <w:pPr>
        <w:pStyle w:val="ConsPlusTitlePage"/>
      </w:pPr>
      <w:r>
        <w:t xml:space="preserve">Документ предоставлен </w:t>
      </w:r>
      <w:hyperlink r:id="rId5" w:history="1">
        <w:r>
          <w:rPr>
            <w:color w:val="0000FF"/>
          </w:rPr>
          <w:t>КонсультантПлюс</w:t>
        </w:r>
      </w:hyperlink>
      <w:r>
        <w:br/>
      </w:r>
    </w:p>
    <w:p w:rsidR="00427438" w:rsidRDefault="00427438">
      <w:pPr>
        <w:pStyle w:val="ConsPlusNormal"/>
        <w:jc w:val="both"/>
        <w:outlineLvl w:val="0"/>
      </w:pPr>
    </w:p>
    <w:p w:rsidR="00427438" w:rsidRDefault="00427438">
      <w:pPr>
        <w:pStyle w:val="ConsPlusTitle"/>
        <w:jc w:val="center"/>
        <w:outlineLvl w:val="0"/>
      </w:pPr>
      <w:r>
        <w:t>ПРАВИТЕЛЬСТВО ПЕНЗЕНСКОЙ ОБЛАСТИ</w:t>
      </w:r>
    </w:p>
    <w:p w:rsidR="00427438" w:rsidRDefault="00427438">
      <w:pPr>
        <w:pStyle w:val="ConsPlusTitle"/>
        <w:jc w:val="center"/>
      </w:pPr>
    </w:p>
    <w:p w:rsidR="00427438" w:rsidRDefault="00427438">
      <w:pPr>
        <w:pStyle w:val="ConsPlusTitle"/>
        <w:jc w:val="center"/>
      </w:pPr>
      <w:r>
        <w:t>ПОСТАНОВЛЕНИЕ</w:t>
      </w:r>
    </w:p>
    <w:p w:rsidR="00427438" w:rsidRDefault="00427438">
      <w:pPr>
        <w:pStyle w:val="ConsPlusTitle"/>
        <w:jc w:val="center"/>
      </w:pPr>
      <w:r>
        <w:t>от 31 октября 2014 г. N 751-пП</w:t>
      </w:r>
    </w:p>
    <w:p w:rsidR="00427438" w:rsidRDefault="00427438">
      <w:pPr>
        <w:pStyle w:val="ConsPlusTitle"/>
        <w:jc w:val="center"/>
      </w:pPr>
    </w:p>
    <w:p w:rsidR="00427438" w:rsidRDefault="00427438">
      <w:pPr>
        <w:pStyle w:val="ConsPlusTitle"/>
        <w:jc w:val="center"/>
      </w:pPr>
      <w:r>
        <w:t>ОБ УСТАНОВЛЕНИИ РАЗМЕРА ПРЕДЕЛЬНОЙ СТОИМОСТИ УСЛУГ И (ИЛИ)</w:t>
      </w:r>
    </w:p>
    <w:p w:rsidR="00427438" w:rsidRDefault="00427438">
      <w:pPr>
        <w:pStyle w:val="ConsPlusTitle"/>
        <w:jc w:val="center"/>
      </w:pPr>
      <w:r>
        <w:t xml:space="preserve">РАБОТ ПО КАПИТАЛЬНОМУ РЕМОНТУ ОБЩЕГО ИМУЩЕСТВА </w:t>
      </w:r>
      <w:proofErr w:type="gramStart"/>
      <w:r>
        <w:t>В</w:t>
      </w:r>
      <w:proofErr w:type="gramEnd"/>
    </w:p>
    <w:p w:rsidR="00427438" w:rsidRDefault="00427438">
      <w:pPr>
        <w:pStyle w:val="ConsPlusTitle"/>
        <w:jc w:val="center"/>
      </w:pPr>
      <w:r>
        <w:t xml:space="preserve">МНОГОКВАРТИРНОМ ДОМЕ НА ТЕРРИТОРИИ ПЕНЗЕНСКОЙ ОБЛАСТИ </w:t>
      </w:r>
      <w:proofErr w:type="gramStart"/>
      <w:r>
        <w:t>НА</w:t>
      </w:r>
      <w:proofErr w:type="gramEnd"/>
    </w:p>
    <w:p w:rsidR="00427438" w:rsidRDefault="00427438">
      <w:pPr>
        <w:pStyle w:val="ConsPlusTitle"/>
        <w:jc w:val="center"/>
      </w:pPr>
      <w:r>
        <w:t xml:space="preserve">2015 ГОД, </w:t>
      </w:r>
      <w:proofErr w:type="gramStart"/>
      <w:r>
        <w:t>КОТОРАЯ</w:t>
      </w:r>
      <w:proofErr w:type="gramEnd"/>
      <w:r>
        <w:t xml:space="preserve"> МОЖЕТ ОПЛАЧИВАТЬСЯ РЕГИОНАЛЬНЫМ ОПЕРАТОРОМ</w:t>
      </w:r>
    </w:p>
    <w:p w:rsidR="00427438" w:rsidRDefault="00427438">
      <w:pPr>
        <w:pStyle w:val="ConsPlusTitle"/>
        <w:jc w:val="center"/>
      </w:pPr>
      <w:r>
        <w:t>ЗА СЧЕТ СРЕДСТВ ФОНДА КАПИТАЛЬНОГО РЕМОНТА, СФОРМИРОВАННОГО</w:t>
      </w:r>
    </w:p>
    <w:p w:rsidR="00427438" w:rsidRDefault="00427438">
      <w:pPr>
        <w:pStyle w:val="ConsPlusTitle"/>
        <w:jc w:val="center"/>
      </w:pPr>
      <w:r>
        <w:t>ИСХОДЯ ИЗ МИНИМАЛЬНОГО РАЗМЕРА ВЗНОСА НА КАПИТАЛЬНЫЙ РЕМОНТ</w:t>
      </w:r>
    </w:p>
    <w:p w:rsidR="00427438" w:rsidRDefault="00427438">
      <w:pPr>
        <w:pStyle w:val="ConsPlusNormal"/>
        <w:jc w:val="both"/>
      </w:pPr>
    </w:p>
    <w:p w:rsidR="00427438" w:rsidRDefault="00427438">
      <w:pPr>
        <w:pStyle w:val="ConsPlusNormal"/>
        <w:ind w:firstLine="540"/>
        <w:jc w:val="both"/>
      </w:pPr>
      <w:proofErr w:type="gramStart"/>
      <w:r>
        <w:t xml:space="preserve">В соответствии с </w:t>
      </w:r>
      <w:hyperlink r:id="rId6" w:history="1">
        <w:r>
          <w:rPr>
            <w:color w:val="0000FF"/>
          </w:rPr>
          <w:t>частью 4 статьи 190</w:t>
        </w:r>
      </w:hyperlink>
      <w:r>
        <w:t xml:space="preserve"> Жилищного кодекса Российской Федерации, </w:t>
      </w:r>
      <w:hyperlink r:id="rId7" w:history="1">
        <w:r>
          <w:rPr>
            <w:color w:val="0000FF"/>
          </w:rPr>
          <w:t>статьей 3</w:t>
        </w:r>
      </w:hyperlink>
      <w:r>
        <w:t xml:space="preserve"> Закона Пензенской области от 01.07.2013 N 2403-ЗПО "Об организации проведения капитального ремонта общего имущества в многоквартирных домах, расположенных на территории Пензенской области" (с последующими изменениями), руководствуясь </w:t>
      </w:r>
      <w:hyperlink r:id="rId8" w:history="1">
        <w:r>
          <w:rPr>
            <w:color w:val="0000FF"/>
          </w:rPr>
          <w:t>Законом</w:t>
        </w:r>
      </w:hyperlink>
      <w:r>
        <w:t xml:space="preserve"> Пензенской области от 22.12.2005 N 906-ЗПО "О Правительстве Пензенской области" (с последующими изменениями), Правительство Пензенской области постановляет:</w:t>
      </w:r>
      <w:proofErr w:type="gramEnd"/>
    </w:p>
    <w:p w:rsidR="00427438" w:rsidRDefault="00427438">
      <w:pPr>
        <w:pStyle w:val="ConsPlusNormal"/>
        <w:spacing w:before="220"/>
        <w:ind w:firstLine="540"/>
        <w:jc w:val="both"/>
      </w:pPr>
      <w:r>
        <w:t xml:space="preserve">1. Установить </w:t>
      </w:r>
      <w:hyperlink w:anchor="P31" w:history="1">
        <w:r>
          <w:rPr>
            <w:color w:val="0000FF"/>
          </w:rPr>
          <w:t>размер</w:t>
        </w:r>
      </w:hyperlink>
      <w:r>
        <w:t xml:space="preserve"> предельной стоимости услуг и (или) работ по капитальному ремонту общего имущества в многоквартирном доме на территории Пензенской области на 2015 год,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согласно приложению.</w:t>
      </w:r>
    </w:p>
    <w:p w:rsidR="00427438" w:rsidRDefault="00427438">
      <w:pPr>
        <w:pStyle w:val="ConsPlusNormal"/>
        <w:spacing w:before="220"/>
        <w:ind w:firstLine="540"/>
        <w:jc w:val="both"/>
      </w:pPr>
      <w:r>
        <w:t xml:space="preserve">2. Настоящее постановление опубликовать в газете "Пензенские губернские ведомости" и разместить (опубликовать) на "Официальном </w:t>
      </w:r>
      <w:proofErr w:type="gramStart"/>
      <w:r>
        <w:t>интернет-портале</w:t>
      </w:r>
      <w:proofErr w:type="gramEnd"/>
      <w:r>
        <w:t xml:space="preserve"> правовой информации" (www.pravo.gov.ru) и на официальном сайте Правительства Пензенской области в информационно-телекоммуникационной сети "Интернет".</w:t>
      </w:r>
    </w:p>
    <w:p w:rsidR="00427438" w:rsidRDefault="00427438">
      <w:pPr>
        <w:pStyle w:val="ConsPlusNormal"/>
        <w:spacing w:before="220"/>
        <w:ind w:firstLine="540"/>
        <w:jc w:val="both"/>
      </w:pPr>
      <w:r>
        <w:t xml:space="preserve">3. </w:t>
      </w:r>
      <w:proofErr w:type="gramStart"/>
      <w:r>
        <w:t>Контроль за</w:t>
      </w:r>
      <w:proofErr w:type="gramEnd"/>
      <w:r>
        <w:t xml:space="preserve"> исполнением настоящего постановления возложить на заместителя Председателя Правительства Пензенской области, координирующего вопросы формирования и реализации государственной политики в области жилищно-коммунального хозяйства.</w:t>
      </w:r>
    </w:p>
    <w:p w:rsidR="00427438" w:rsidRDefault="00427438">
      <w:pPr>
        <w:pStyle w:val="ConsPlusNormal"/>
        <w:jc w:val="both"/>
      </w:pPr>
    </w:p>
    <w:p w:rsidR="00427438" w:rsidRDefault="00427438">
      <w:pPr>
        <w:pStyle w:val="ConsPlusNormal"/>
        <w:jc w:val="right"/>
      </w:pPr>
      <w:r>
        <w:t>Губернатор</w:t>
      </w:r>
    </w:p>
    <w:p w:rsidR="00427438" w:rsidRDefault="00427438">
      <w:pPr>
        <w:pStyle w:val="ConsPlusNormal"/>
        <w:jc w:val="right"/>
      </w:pPr>
      <w:r>
        <w:t>Пензенской области</w:t>
      </w:r>
    </w:p>
    <w:p w:rsidR="00427438" w:rsidRDefault="00427438">
      <w:pPr>
        <w:pStyle w:val="ConsPlusNormal"/>
        <w:jc w:val="right"/>
      </w:pPr>
      <w:r>
        <w:t>В.К.БОЧКАРЕВ</w:t>
      </w:r>
    </w:p>
    <w:p w:rsidR="00427438" w:rsidRDefault="00427438">
      <w:pPr>
        <w:pStyle w:val="ConsPlusNormal"/>
        <w:jc w:val="both"/>
      </w:pPr>
    </w:p>
    <w:p w:rsidR="00427438" w:rsidRDefault="00427438">
      <w:pPr>
        <w:pStyle w:val="ConsPlusNormal"/>
        <w:jc w:val="both"/>
      </w:pPr>
    </w:p>
    <w:p w:rsidR="00427438" w:rsidRDefault="00427438">
      <w:pPr>
        <w:pStyle w:val="ConsPlusNormal"/>
        <w:jc w:val="both"/>
      </w:pPr>
    </w:p>
    <w:p w:rsidR="00427438" w:rsidRDefault="00427438">
      <w:pPr>
        <w:pStyle w:val="ConsPlusNormal"/>
        <w:jc w:val="both"/>
      </w:pPr>
    </w:p>
    <w:p w:rsidR="00427438" w:rsidRDefault="00427438">
      <w:pPr>
        <w:pStyle w:val="ConsPlusNormal"/>
        <w:jc w:val="both"/>
      </w:pPr>
    </w:p>
    <w:p w:rsidR="00427438" w:rsidRDefault="00427438">
      <w:pPr>
        <w:sectPr w:rsidR="00427438" w:rsidSect="00207753">
          <w:pgSz w:w="11906" w:h="16838"/>
          <w:pgMar w:top="1134" w:right="850" w:bottom="1134" w:left="1701" w:header="708" w:footer="708" w:gutter="0"/>
          <w:cols w:space="708"/>
          <w:docGrid w:linePitch="360"/>
        </w:sectPr>
      </w:pPr>
    </w:p>
    <w:p w:rsidR="00427438" w:rsidRDefault="00427438">
      <w:pPr>
        <w:pStyle w:val="ConsPlusNormal"/>
        <w:jc w:val="right"/>
        <w:outlineLvl w:val="0"/>
      </w:pPr>
      <w:r>
        <w:lastRenderedPageBreak/>
        <w:t>Приложение</w:t>
      </w:r>
    </w:p>
    <w:p w:rsidR="00427438" w:rsidRDefault="00427438">
      <w:pPr>
        <w:pStyle w:val="ConsPlusNormal"/>
        <w:jc w:val="right"/>
      </w:pPr>
      <w:r>
        <w:t>к постановлению</w:t>
      </w:r>
    </w:p>
    <w:p w:rsidR="00427438" w:rsidRDefault="00427438">
      <w:pPr>
        <w:pStyle w:val="ConsPlusNormal"/>
        <w:jc w:val="right"/>
      </w:pPr>
      <w:r>
        <w:t>Правительства Пензенской области</w:t>
      </w:r>
    </w:p>
    <w:p w:rsidR="00427438" w:rsidRDefault="00427438">
      <w:pPr>
        <w:pStyle w:val="ConsPlusNormal"/>
        <w:jc w:val="right"/>
      </w:pPr>
      <w:r>
        <w:t>от 31 октября 2014 г. N 751-пП</w:t>
      </w:r>
    </w:p>
    <w:p w:rsidR="00427438" w:rsidRDefault="00427438">
      <w:pPr>
        <w:pStyle w:val="ConsPlusNormal"/>
        <w:jc w:val="both"/>
      </w:pPr>
    </w:p>
    <w:p w:rsidR="00427438" w:rsidRDefault="00427438">
      <w:pPr>
        <w:pStyle w:val="ConsPlusTitle"/>
        <w:jc w:val="center"/>
      </w:pPr>
      <w:bookmarkStart w:id="0" w:name="P31"/>
      <w:bookmarkEnd w:id="0"/>
      <w:r>
        <w:t>РАЗМЕР</w:t>
      </w:r>
    </w:p>
    <w:p w:rsidR="00427438" w:rsidRDefault="00427438">
      <w:pPr>
        <w:pStyle w:val="ConsPlusTitle"/>
        <w:jc w:val="center"/>
      </w:pPr>
      <w:r>
        <w:t xml:space="preserve">ПРЕДЕЛЬНОЙ СТОИМОСТИ УСЛУГ И (ИЛИ) РАБОТ ПО </w:t>
      </w:r>
      <w:proofErr w:type="gramStart"/>
      <w:r>
        <w:t>КАПИТАЛЬНОМУ</w:t>
      </w:r>
      <w:proofErr w:type="gramEnd"/>
    </w:p>
    <w:p w:rsidR="00427438" w:rsidRDefault="00427438">
      <w:pPr>
        <w:pStyle w:val="ConsPlusTitle"/>
        <w:jc w:val="center"/>
      </w:pPr>
      <w:r>
        <w:t xml:space="preserve">РЕМОНТУ ОБЩЕГО ИМУЩЕСТВА В МНОГОКВАРТИРНОМ ДОМЕ </w:t>
      </w:r>
      <w:proofErr w:type="gramStart"/>
      <w:r>
        <w:t>НА</w:t>
      </w:r>
      <w:proofErr w:type="gramEnd"/>
    </w:p>
    <w:p w:rsidR="00427438" w:rsidRDefault="00427438">
      <w:pPr>
        <w:pStyle w:val="ConsPlusTitle"/>
        <w:jc w:val="center"/>
      </w:pPr>
      <w:r>
        <w:t>ТЕРРИТОРИИ ПЕНЗЕНСКОЙ ОБЛАСТИ НА 2015 ГОД, КОТОРАЯ МОЖЕТ</w:t>
      </w:r>
    </w:p>
    <w:p w:rsidR="00427438" w:rsidRDefault="00427438">
      <w:pPr>
        <w:pStyle w:val="ConsPlusTitle"/>
        <w:jc w:val="center"/>
      </w:pPr>
      <w:r>
        <w:t>ОПЛАЧИВАТЬСЯ РЕГИОНАЛЬНЫМ ОПЕРАТОРОМ ЗА СЧЕТ СРЕДСТВ ФОНДА</w:t>
      </w:r>
    </w:p>
    <w:p w:rsidR="00427438" w:rsidRDefault="00427438">
      <w:pPr>
        <w:pStyle w:val="ConsPlusTitle"/>
        <w:jc w:val="center"/>
      </w:pPr>
      <w:r>
        <w:t xml:space="preserve">КАПИТАЛЬНОГО РЕМОНТА, СФОРМИРОВАННОГО ИСХОДЯ </w:t>
      </w:r>
      <w:proofErr w:type="gramStart"/>
      <w:r>
        <w:t>ИЗ</w:t>
      </w:r>
      <w:proofErr w:type="gramEnd"/>
      <w:r>
        <w:t xml:space="preserve"> МИНИМАЛЬНОГО</w:t>
      </w:r>
    </w:p>
    <w:p w:rsidR="00427438" w:rsidRDefault="00427438">
      <w:pPr>
        <w:pStyle w:val="ConsPlusTitle"/>
        <w:jc w:val="center"/>
      </w:pPr>
      <w:r>
        <w:t>РАЗМЕРА ВЗНОСА НА КАПИТАЛЬНЫЙ РЕМОНТ</w:t>
      </w:r>
    </w:p>
    <w:p w:rsidR="00427438" w:rsidRDefault="004274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139"/>
        <w:gridCol w:w="3005"/>
        <w:gridCol w:w="1984"/>
      </w:tblGrid>
      <w:tr w:rsidR="00427438">
        <w:tc>
          <w:tcPr>
            <w:tcW w:w="510" w:type="dxa"/>
          </w:tcPr>
          <w:p w:rsidR="00427438" w:rsidRDefault="00427438">
            <w:pPr>
              <w:pStyle w:val="ConsPlusNormal"/>
              <w:jc w:val="center"/>
            </w:pPr>
            <w:r>
              <w:t xml:space="preserve">N </w:t>
            </w:r>
            <w:proofErr w:type="gramStart"/>
            <w:r>
              <w:t>п</w:t>
            </w:r>
            <w:proofErr w:type="gramEnd"/>
            <w:r>
              <w:t>/п</w:t>
            </w:r>
          </w:p>
        </w:tc>
        <w:tc>
          <w:tcPr>
            <w:tcW w:w="4139" w:type="dxa"/>
          </w:tcPr>
          <w:p w:rsidR="00427438" w:rsidRDefault="00427438">
            <w:pPr>
              <w:pStyle w:val="ConsPlusNormal"/>
              <w:jc w:val="center"/>
            </w:pPr>
            <w:r>
              <w:t>Наименование услуг и (или) работ по капитальному ремонту</w:t>
            </w:r>
          </w:p>
        </w:tc>
        <w:tc>
          <w:tcPr>
            <w:tcW w:w="3005" w:type="dxa"/>
          </w:tcPr>
          <w:p w:rsidR="00427438" w:rsidRDefault="00427438">
            <w:pPr>
              <w:pStyle w:val="ConsPlusNormal"/>
              <w:jc w:val="center"/>
            </w:pPr>
            <w:r>
              <w:t>Единица измерения</w:t>
            </w:r>
          </w:p>
        </w:tc>
        <w:tc>
          <w:tcPr>
            <w:tcW w:w="1984" w:type="dxa"/>
          </w:tcPr>
          <w:p w:rsidR="00427438" w:rsidRDefault="00427438">
            <w:pPr>
              <w:pStyle w:val="ConsPlusNormal"/>
              <w:jc w:val="center"/>
            </w:pPr>
            <w:r>
              <w:t>Размер предельной стоимости, руб.</w:t>
            </w:r>
          </w:p>
        </w:tc>
      </w:tr>
      <w:tr w:rsidR="00427438">
        <w:tc>
          <w:tcPr>
            <w:tcW w:w="510" w:type="dxa"/>
          </w:tcPr>
          <w:p w:rsidR="00427438" w:rsidRDefault="00427438">
            <w:pPr>
              <w:pStyle w:val="ConsPlusNormal"/>
              <w:jc w:val="center"/>
            </w:pPr>
            <w:r>
              <w:t>1</w:t>
            </w:r>
          </w:p>
        </w:tc>
        <w:tc>
          <w:tcPr>
            <w:tcW w:w="4139" w:type="dxa"/>
          </w:tcPr>
          <w:p w:rsidR="00427438" w:rsidRDefault="00427438">
            <w:pPr>
              <w:pStyle w:val="ConsPlusNormal"/>
              <w:jc w:val="center"/>
            </w:pPr>
            <w:r>
              <w:t>2</w:t>
            </w:r>
          </w:p>
        </w:tc>
        <w:tc>
          <w:tcPr>
            <w:tcW w:w="3005" w:type="dxa"/>
          </w:tcPr>
          <w:p w:rsidR="00427438" w:rsidRDefault="00427438">
            <w:pPr>
              <w:pStyle w:val="ConsPlusNormal"/>
              <w:jc w:val="center"/>
            </w:pPr>
            <w:r>
              <w:t>3</w:t>
            </w:r>
          </w:p>
        </w:tc>
        <w:tc>
          <w:tcPr>
            <w:tcW w:w="1984" w:type="dxa"/>
          </w:tcPr>
          <w:p w:rsidR="00427438" w:rsidRDefault="00427438">
            <w:pPr>
              <w:pStyle w:val="ConsPlusNormal"/>
              <w:jc w:val="center"/>
            </w:pPr>
            <w:r>
              <w:t>4</w:t>
            </w:r>
          </w:p>
        </w:tc>
      </w:tr>
      <w:tr w:rsidR="00427438">
        <w:tc>
          <w:tcPr>
            <w:tcW w:w="510" w:type="dxa"/>
          </w:tcPr>
          <w:p w:rsidR="00427438" w:rsidRDefault="00427438">
            <w:pPr>
              <w:pStyle w:val="ConsPlusNormal"/>
              <w:jc w:val="center"/>
            </w:pPr>
            <w:r>
              <w:t>1</w:t>
            </w:r>
          </w:p>
        </w:tc>
        <w:tc>
          <w:tcPr>
            <w:tcW w:w="4139" w:type="dxa"/>
          </w:tcPr>
          <w:p w:rsidR="00427438" w:rsidRDefault="00427438">
            <w:pPr>
              <w:pStyle w:val="ConsPlusNormal"/>
              <w:jc w:val="center"/>
            </w:pPr>
            <w:r>
              <w:t>Ремонт внутридомовых инженерных систем электро-, тепл</w:t>
            </w:r>
            <w:proofErr w:type="gramStart"/>
            <w:r>
              <w:t>о-</w:t>
            </w:r>
            <w:proofErr w:type="gramEnd"/>
            <w:r>
              <w:t>, газо-, водоснабжения, водоотведения</w:t>
            </w:r>
          </w:p>
        </w:tc>
        <w:tc>
          <w:tcPr>
            <w:tcW w:w="3005" w:type="dxa"/>
          </w:tcPr>
          <w:p w:rsidR="00427438" w:rsidRDefault="00427438">
            <w:pPr>
              <w:pStyle w:val="ConsPlusNormal"/>
              <w:jc w:val="center"/>
            </w:pPr>
            <w:r>
              <w:t>1 кв. м общей площади помещений многоквартирного дома, принадлежащих собственникам</w:t>
            </w:r>
          </w:p>
        </w:tc>
        <w:tc>
          <w:tcPr>
            <w:tcW w:w="1984" w:type="dxa"/>
          </w:tcPr>
          <w:p w:rsidR="00427438" w:rsidRDefault="00427438">
            <w:pPr>
              <w:pStyle w:val="ConsPlusNormal"/>
              <w:jc w:val="center"/>
            </w:pPr>
            <w:r>
              <w:t>1299</w:t>
            </w:r>
          </w:p>
        </w:tc>
      </w:tr>
      <w:tr w:rsidR="00427438">
        <w:tc>
          <w:tcPr>
            <w:tcW w:w="510" w:type="dxa"/>
          </w:tcPr>
          <w:p w:rsidR="00427438" w:rsidRDefault="00427438">
            <w:pPr>
              <w:pStyle w:val="ConsPlusNormal"/>
              <w:jc w:val="center"/>
            </w:pPr>
            <w:r>
              <w:t>2</w:t>
            </w:r>
          </w:p>
        </w:tc>
        <w:tc>
          <w:tcPr>
            <w:tcW w:w="4139" w:type="dxa"/>
          </w:tcPr>
          <w:p w:rsidR="00427438" w:rsidRDefault="00427438">
            <w:pPr>
              <w:pStyle w:val="ConsPlusNormal"/>
              <w:jc w:val="center"/>
            </w:pPr>
            <w:r>
              <w:t>Ремонт или замена лифтового оборудования, признанного непригодным для эксплуатации, ремонт лифтовых шахт</w:t>
            </w:r>
          </w:p>
        </w:tc>
        <w:tc>
          <w:tcPr>
            <w:tcW w:w="3005" w:type="dxa"/>
          </w:tcPr>
          <w:p w:rsidR="00427438" w:rsidRDefault="00427438">
            <w:pPr>
              <w:pStyle w:val="ConsPlusNormal"/>
              <w:jc w:val="center"/>
            </w:pPr>
            <w:r>
              <w:t>1 шт.</w:t>
            </w:r>
          </w:p>
        </w:tc>
        <w:tc>
          <w:tcPr>
            <w:tcW w:w="1984" w:type="dxa"/>
          </w:tcPr>
          <w:p w:rsidR="00427438" w:rsidRDefault="00427438">
            <w:pPr>
              <w:pStyle w:val="ConsPlusNormal"/>
              <w:jc w:val="center"/>
            </w:pPr>
            <w:r>
              <w:t>2874504</w:t>
            </w:r>
          </w:p>
        </w:tc>
      </w:tr>
      <w:tr w:rsidR="00427438">
        <w:tc>
          <w:tcPr>
            <w:tcW w:w="510" w:type="dxa"/>
            <w:vMerge w:val="restart"/>
          </w:tcPr>
          <w:p w:rsidR="00427438" w:rsidRDefault="00427438">
            <w:pPr>
              <w:pStyle w:val="ConsPlusNormal"/>
              <w:jc w:val="center"/>
            </w:pPr>
            <w:r>
              <w:t>3</w:t>
            </w:r>
          </w:p>
        </w:tc>
        <w:tc>
          <w:tcPr>
            <w:tcW w:w="4139" w:type="dxa"/>
          </w:tcPr>
          <w:p w:rsidR="00427438" w:rsidRDefault="00427438">
            <w:pPr>
              <w:pStyle w:val="ConsPlusNormal"/>
              <w:jc w:val="center"/>
            </w:pPr>
            <w:r>
              <w:t>Ремонт крыши в зависимости от типов крыш:</w:t>
            </w:r>
          </w:p>
        </w:tc>
        <w:tc>
          <w:tcPr>
            <w:tcW w:w="3005" w:type="dxa"/>
          </w:tcPr>
          <w:p w:rsidR="00427438" w:rsidRDefault="00427438">
            <w:pPr>
              <w:pStyle w:val="ConsPlusNormal"/>
            </w:pPr>
          </w:p>
        </w:tc>
        <w:tc>
          <w:tcPr>
            <w:tcW w:w="1984" w:type="dxa"/>
          </w:tcPr>
          <w:p w:rsidR="00427438" w:rsidRDefault="00427438">
            <w:pPr>
              <w:pStyle w:val="ConsPlusNormal"/>
            </w:pPr>
          </w:p>
        </w:tc>
      </w:tr>
      <w:tr w:rsidR="00427438">
        <w:tc>
          <w:tcPr>
            <w:tcW w:w="510" w:type="dxa"/>
            <w:vMerge/>
          </w:tcPr>
          <w:p w:rsidR="00427438" w:rsidRDefault="00427438"/>
        </w:tc>
        <w:tc>
          <w:tcPr>
            <w:tcW w:w="4139" w:type="dxa"/>
          </w:tcPr>
          <w:p w:rsidR="00427438" w:rsidRDefault="00427438">
            <w:pPr>
              <w:pStyle w:val="ConsPlusNormal"/>
              <w:jc w:val="center"/>
            </w:pPr>
            <w:r>
              <w:t>скатные</w:t>
            </w:r>
          </w:p>
        </w:tc>
        <w:tc>
          <w:tcPr>
            <w:tcW w:w="3005" w:type="dxa"/>
          </w:tcPr>
          <w:p w:rsidR="00427438" w:rsidRDefault="00427438">
            <w:pPr>
              <w:pStyle w:val="ConsPlusNormal"/>
              <w:jc w:val="center"/>
            </w:pPr>
            <w:r>
              <w:t>1 кв. м площади покрытия крыши</w:t>
            </w:r>
          </w:p>
        </w:tc>
        <w:tc>
          <w:tcPr>
            <w:tcW w:w="1984" w:type="dxa"/>
          </w:tcPr>
          <w:p w:rsidR="00427438" w:rsidRDefault="00427438">
            <w:pPr>
              <w:pStyle w:val="ConsPlusNormal"/>
              <w:jc w:val="center"/>
            </w:pPr>
            <w:r>
              <w:t>4756</w:t>
            </w:r>
          </w:p>
        </w:tc>
      </w:tr>
      <w:tr w:rsidR="00427438">
        <w:tc>
          <w:tcPr>
            <w:tcW w:w="510" w:type="dxa"/>
            <w:vMerge/>
          </w:tcPr>
          <w:p w:rsidR="00427438" w:rsidRDefault="00427438"/>
        </w:tc>
        <w:tc>
          <w:tcPr>
            <w:tcW w:w="4139" w:type="dxa"/>
          </w:tcPr>
          <w:p w:rsidR="00427438" w:rsidRDefault="00427438">
            <w:pPr>
              <w:pStyle w:val="ConsPlusNormal"/>
              <w:jc w:val="center"/>
            </w:pPr>
            <w:r>
              <w:t>плоские</w:t>
            </w:r>
          </w:p>
        </w:tc>
        <w:tc>
          <w:tcPr>
            <w:tcW w:w="3005" w:type="dxa"/>
          </w:tcPr>
          <w:p w:rsidR="00427438" w:rsidRDefault="00427438">
            <w:pPr>
              <w:pStyle w:val="ConsPlusNormal"/>
              <w:jc w:val="center"/>
            </w:pPr>
            <w:r>
              <w:t>1 кв. м площади покрытия крыши</w:t>
            </w:r>
          </w:p>
        </w:tc>
        <w:tc>
          <w:tcPr>
            <w:tcW w:w="1984" w:type="dxa"/>
          </w:tcPr>
          <w:p w:rsidR="00427438" w:rsidRDefault="00427438">
            <w:pPr>
              <w:pStyle w:val="ConsPlusNormal"/>
              <w:jc w:val="center"/>
            </w:pPr>
            <w:r>
              <w:t>1886</w:t>
            </w:r>
          </w:p>
        </w:tc>
      </w:tr>
      <w:tr w:rsidR="00427438">
        <w:tc>
          <w:tcPr>
            <w:tcW w:w="510" w:type="dxa"/>
          </w:tcPr>
          <w:p w:rsidR="00427438" w:rsidRDefault="00427438">
            <w:pPr>
              <w:pStyle w:val="ConsPlusNormal"/>
              <w:jc w:val="center"/>
            </w:pPr>
            <w:r>
              <w:t>4</w:t>
            </w:r>
          </w:p>
        </w:tc>
        <w:tc>
          <w:tcPr>
            <w:tcW w:w="4139" w:type="dxa"/>
          </w:tcPr>
          <w:p w:rsidR="00427438" w:rsidRDefault="00427438">
            <w:pPr>
              <w:pStyle w:val="ConsPlusNormal"/>
              <w:jc w:val="center"/>
            </w:pPr>
            <w:r>
              <w:t>Ремонт подвальных помещений, относящихся к общему имуществу в многоквартирном доме</w:t>
            </w:r>
          </w:p>
        </w:tc>
        <w:tc>
          <w:tcPr>
            <w:tcW w:w="3005" w:type="dxa"/>
          </w:tcPr>
          <w:p w:rsidR="00427438" w:rsidRDefault="00427438">
            <w:pPr>
              <w:pStyle w:val="ConsPlusNormal"/>
              <w:jc w:val="center"/>
            </w:pPr>
            <w:r>
              <w:t>1 кв. м общей площади помещений многоквартирного дома, принадлежащих собственникам</w:t>
            </w:r>
          </w:p>
        </w:tc>
        <w:tc>
          <w:tcPr>
            <w:tcW w:w="1984" w:type="dxa"/>
          </w:tcPr>
          <w:p w:rsidR="00427438" w:rsidRDefault="00427438">
            <w:pPr>
              <w:pStyle w:val="ConsPlusNormal"/>
              <w:jc w:val="center"/>
            </w:pPr>
            <w:r>
              <w:t>412</w:t>
            </w:r>
          </w:p>
        </w:tc>
      </w:tr>
      <w:tr w:rsidR="00427438">
        <w:tc>
          <w:tcPr>
            <w:tcW w:w="510" w:type="dxa"/>
            <w:vMerge w:val="restart"/>
          </w:tcPr>
          <w:p w:rsidR="00427438" w:rsidRDefault="00427438">
            <w:pPr>
              <w:pStyle w:val="ConsPlusNormal"/>
              <w:jc w:val="center"/>
            </w:pPr>
            <w:r>
              <w:t>5</w:t>
            </w:r>
          </w:p>
        </w:tc>
        <w:tc>
          <w:tcPr>
            <w:tcW w:w="4139" w:type="dxa"/>
          </w:tcPr>
          <w:p w:rsidR="00427438" w:rsidRDefault="00427438">
            <w:pPr>
              <w:pStyle w:val="ConsPlusNormal"/>
              <w:jc w:val="center"/>
            </w:pPr>
            <w:r>
              <w:t>Ремонт фасада в зависимости от выполняемых работ:</w:t>
            </w:r>
          </w:p>
        </w:tc>
        <w:tc>
          <w:tcPr>
            <w:tcW w:w="3005" w:type="dxa"/>
          </w:tcPr>
          <w:p w:rsidR="00427438" w:rsidRDefault="00427438">
            <w:pPr>
              <w:pStyle w:val="ConsPlusNormal"/>
            </w:pPr>
          </w:p>
        </w:tc>
        <w:tc>
          <w:tcPr>
            <w:tcW w:w="1984" w:type="dxa"/>
          </w:tcPr>
          <w:p w:rsidR="00427438" w:rsidRDefault="00427438">
            <w:pPr>
              <w:pStyle w:val="ConsPlusNormal"/>
            </w:pPr>
          </w:p>
        </w:tc>
      </w:tr>
      <w:tr w:rsidR="00427438">
        <w:tc>
          <w:tcPr>
            <w:tcW w:w="510" w:type="dxa"/>
            <w:vMerge/>
          </w:tcPr>
          <w:p w:rsidR="00427438" w:rsidRDefault="00427438"/>
        </w:tc>
        <w:tc>
          <w:tcPr>
            <w:tcW w:w="4139" w:type="dxa"/>
          </w:tcPr>
          <w:p w:rsidR="00427438" w:rsidRDefault="00427438">
            <w:pPr>
              <w:pStyle w:val="ConsPlusNormal"/>
              <w:jc w:val="center"/>
            </w:pPr>
            <w:r>
              <w:t>утепление фасада</w:t>
            </w:r>
          </w:p>
        </w:tc>
        <w:tc>
          <w:tcPr>
            <w:tcW w:w="3005" w:type="dxa"/>
          </w:tcPr>
          <w:p w:rsidR="00427438" w:rsidRDefault="00427438">
            <w:pPr>
              <w:pStyle w:val="ConsPlusNormal"/>
              <w:jc w:val="center"/>
            </w:pPr>
            <w:r>
              <w:t>1 кв. м общей площади помещений многоквартирного дома, принадлежащих собственникам</w:t>
            </w:r>
          </w:p>
        </w:tc>
        <w:tc>
          <w:tcPr>
            <w:tcW w:w="1984" w:type="dxa"/>
          </w:tcPr>
          <w:p w:rsidR="00427438" w:rsidRDefault="00427438">
            <w:pPr>
              <w:pStyle w:val="ConsPlusNormal"/>
              <w:jc w:val="center"/>
            </w:pPr>
            <w:r>
              <w:t>4222</w:t>
            </w:r>
          </w:p>
        </w:tc>
      </w:tr>
      <w:tr w:rsidR="00427438">
        <w:tc>
          <w:tcPr>
            <w:tcW w:w="510" w:type="dxa"/>
            <w:vMerge/>
          </w:tcPr>
          <w:p w:rsidR="00427438" w:rsidRDefault="00427438"/>
        </w:tc>
        <w:tc>
          <w:tcPr>
            <w:tcW w:w="4139" w:type="dxa"/>
          </w:tcPr>
          <w:p w:rsidR="00427438" w:rsidRDefault="00427438">
            <w:pPr>
              <w:pStyle w:val="ConsPlusNormal"/>
              <w:jc w:val="center"/>
            </w:pPr>
            <w:r>
              <w:t>оштукатуривание и окраска фасада без утепления</w:t>
            </w:r>
          </w:p>
        </w:tc>
        <w:tc>
          <w:tcPr>
            <w:tcW w:w="3005" w:type="dxa"/>
          </w:tcPr>
          <w:p w:rsidR="00427438" w:rsidRDefault="00427438">
            <w:pPr>
              <w:pStyle w:val="ConsPlusNormal"/>
              <w:jc w:val="center"/>
            </w:pPr>
            <w:r>
              <w:t>1 кв. м общей площади помещений многоквартирного дома, принадлежащих собственникам</w:t>
            </w:r>
          </w:p>
        </w:tc>
        <w:tc>
          <w:tcPr>
            <w:tcW w:w="1984" w:type="dxa"/>
          </w:tcPr>
          <w:p w:rsidR="00427438" w:rsidRDefault="00427438">
            <w:pPr>
              <w:pStyle w:val="ConsPlusNormal"/>
              <w:jc w:val="center"/>
            </w:pPr>
            <w:r>
              <w:t>1690</w:t>
            </w:r>
          </w:p>
        </w:tc>
      </w:tr>
      <w:tr w:rsidR="00427438">
        <w:tc>
          <w:tcPr>
            <w:tcW w:w="510" w:type="dxa"/>
          </w:tcPr>
          <w:p w:rsidR="00427438" w:rsidRDefault="00427438">
            <w:pPr>
              <w:pStyle w:val="ConsPlusNormal"/>
              <w:jc w:val="center"/>
            </w:pPr>
            <w:r>
              <w:t>6</w:t>
            </w:r>
          </w:p>
        </w:tc>
        <w:tc>
          <w:tcPr>
            <w:tcW w:w="4139" w:type="dxa"/>
          </w:tcPr>
          <w:p w:rsidR="00427438" w:rsidRDefault="00427438">
            <w:pPr>
              <w:pStyle w:val="ConsPlusNormal"/>
              <w:jc w:val="center"/>
            </w:pPr>
            <w:r>
              <w:t>Ремонт фундамента многоквартирного дома</w:t>
            </w:r>
          </w:p>
        </w:tc>
        <w:tc>
          <w:tcPr>
            <w:tcW w:w="3005" w:type="dxa"/>
          </w:tcPr>
          <w:p w:rsidR="00427438" w:rsidRDefault="00427438">
            <w:pPr>
              <w:pStyle w:val="ConsPlusNormal"/>
              <w:jc w:val="center"/>
            </w:pPr>
            <w:r>
              <w:t>1 куб. м фундамента</w:t>
            </w:r>
          </w:p>
        </w:tc>
        <w:tc>
          <w:tcPr>
            <w:tcW w:w="1984" w:type="dxa"/>
          </w:tcPr>
          <w:p w:rsidR="00427438" w:rsidRDefault="00427438">
            <w:pPr>
              <w:pStyle w:val="ConsPlusNormal"/>
              <w:jc w:val="center"/>
            </w:pPr>
            <w:r>
              <w:t>Стоимость работ определяется на основании проектно-сметной документации</w:t>
            </w:r>
          </w:p>
        </w:tc>
      </w:tr>
      <w:tr w:rsidR="00427438">
        <w:tc>
          <w:tcPr>
            <w:tcW w:w="510" w:type="dxa"/>
          </w:tcPr>
          <w:p w:rsidR="00427438" w:rsidRDefault="00427438">
            <w:pPr>
              <w:pStyle w:val="ConsPlusNormal"/>
              <w:jc w:val="center"/>
            </w:pPr>
            <w:r>
              <w:t>7</w:t>
            </w:r>
          </w:p>
        </w:tc>
        <w:tc>
          <w:tcPr>
            <w:tcW w:w="4139" w:type="dxa"/>
          </w:tcPr>
          <w:p w:rsidR="00427438" w:rsidRDefault="00427438">
            <w:pPr>
              <w:pStyle w:val="ConsPlusNormal"/>
              <w:jc w:val="center"/>
            </w:pPr>
            <w:r>
              <w:t xml:space="preserve">Установка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w:t>
            </w:r>
            <w:r>
              <w:lastRenderedPageBreak/>
              <w:t>ресурсов (тепловой энергии, горячей и холодной воды, электрической энергии)</w:t>
            </w:r>
          </w:p>
        </w:tc>
        <w:tc>
          <w:tcPr>
            <w:tcW w:w="3005" w:type="dxa"/>
          </w:tcPr>
          <w:p w:rsidR="00427438" w:rsidRDefault="00427438">
            <w:pPr>
              <w:pStyle w:val="ConsPlusNormal"/>
              <w:jc w:val="center"/>
            </w:pPr>
            <w:r>
              <w:lastRenderedPageBreak/>
              <w:t>1 кв. м общей площади помещений многоквартирного дома, принадлежащих собственникам</w:t>
            </w:r>
          </w:p>
        </w:tc>
        <w:tc>
          <w:tcPr>
            <w:tcW w:w="1984" w:type="dxa"/>
          </w:tcPr>
          <w:p w:rsidR="00427438" w:rsidRDefault="00427438">
            <w:pPr>
              <w:pStyle w:val="ConsPlusNormal"/>
              <w:jc w:val="center"/>
            </w:pPr>
            <w:r>
              <w:t>253</w:t>
            </w:r>
          </w:p>
        </w:tc>
      </w:tr>
    </w:tbl>
    <w:p w:rsidR="00427438" w:rsidRDefault="00427438">
      <w:pPr>
        <w:pStyle w:val="ConsPlusNormal"/>
        <w:jc w:val="both"/>
      </w:pPr>
    </w:p>
    <w:p w:rsidR="00427438" w:rsidRDefault="00427438">
      <w:pPr>
        <w:pStyle w:val="ConsPlusNormal"/>
        <w:jc w:val="both"/>
      </w:pPr>
    </w:p>
    <w:p w:rsidR="00427438" w:rsidRDefault="00427438">
      <w:pPr>
        <w:pStyle w:val="ConsPlusNormal"/>
        <w:pBdr>
          <w:top w:val="single" w:sz="6" w:space="0" w:color="auto"/>
        </w:pBdr>
        <w:spacing w:before="100" w:after="100"/>
        <w:jc w:val="both"/>
        <w:rPr>
          <w:sz w:val="2"/>
          <w:szCs w:val="2"/>
        </w:rPr>
      </w:pPr>
    </w:p>
    <w:p w:rsidR="00D550C4" w:rsidRDefault="00D550C4">
      <w:bookmarkStart w:id="1" w:name="_GoBack"/>
      <w:bookmarkEnd w:id="1"/>
    </w:p>
    <w:sectPr w:rsidR="00D550C4" w:rsidSect="00A6554B">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438"/>
    <w:rsid w:val="00427438"/>
    <w:rsid w:val="00D550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74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2743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2743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74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2743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2743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9ED25568889453F78EBD6E920E15052D04F2996693ADF3F9C8D1B5C0C0ED4A1O9f7J" TargetMode="External"/><Relationship Id="rId3" Type="http://schemas.openxmlformats.org/officeDocument/2006/relationships/settings" Target="settings.xml"/><Relationship Id="rId7" Type="http://schemas.openxmlformats.org/officeDocument/2006/relationships/hyperlink" Target="consultantplus://offline/ref=7F29ED25568889453F78EBD6E920E15052D04F2996693ADF3C9E8D1B5C0C0ED4A19710C8E229965614BC87F2O5f2J"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7F29ED25568889453F78F5DBFF4CBF5F51D91022906C358065C98B4C035C0881E1D71698A0O6fDJ" TargetMode="External"/><Relationship Id="rId5" Type="http://schemas.openxmlformats.org/officeDocument/2006/relationships/hyperlink" Target="http://www.consultan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641</Words>
  <Characters>3654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УЖКХ</Company>
  <LinksUpToDate>false</LinksUpToDate>
  <CharactersWithSpaces>4287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Ezhikova_NM</dc:creator>
  <cp:keywords/>
  <dc:description/>
  <cp:lastModifiedBy>Ezhikova_NM</cp:lastModifiedBy>
  <cp:revision>1</cp:revision>
  <dcterms:created xsi:type="dcterms:W3CDTF">2017-12-12T09:31:00Z</dcterms:created>
  <dcterms:modified xsi:type="dcterms:W3CDTF">2017-12-12T09:31:00Z</dcterms:modified>
</cp:coreProperties>
</file>