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8BE" w:rsidRDefault="002A08B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A08BE" w:rsidRDefault="002A08BE">
      <w:pPr>
        <w:pStyle w:val="ConsPlusNormal"/>
        <w:ind w:firstLine="540"/>
        <w:jc w:val="both"/>
        <w:outlineLvl w:val="0"/>
      </w:pPr>
    </w:p>
    <w:p w:rsidR="002A08BE" w:rsidRDefault="002A08BE">
      <w:pPr>
        <w:pStyle w:val="ConsPlusTitle"/>
        <w:jc w:val="center"/>
        <w:outlineLvl w:val="0"/>
      </w:pPr>
      <w:r>
        <w:t>ПРАВИТЕЛЬСТВО ПЕНЗЕНСКОЙ ОБЛАСТИ</w:t>
      </w:r>
    </w:p>
    <w:p w:rsidR="002A08BE" w:rsidRDefault="002A08BE">
      <w:pPr>
        <w:pStyle w:val="ConsPlusTitle"/>
        <w:jc w:val="both"/>
      </w:pPr>
    </w:p>
    <w:p w:rsidR="002A08BE" w:rsidRDefault="002A08BE">
      <w:pPr>
        <w:pStyle w:val="ConsPlusTitle"/>
        <w:jc w:val="center"/>
      </w:pPr>
      <w:r>
        <w:t>ПОСТАНОВЛЕНИЕ</w:t>
      </w:r>
    </w:p>
    <w:p w:rsidR="002A08BE" w:rsidRDefault="002A08BE">
      <w:pPr>
        <w:pStyle w:val="ConsPlusTitle"/>
        <w:jc w:val="center"/>
      </w:pPr>
      <w:r>
        <w:t>от 22 мая 2025 г. N 467-пП</w:t>
      </w:r>
    </w:p>
    <w:p w:rsidR="002A08BE" w:rsidRDefault="002A08BE">
      <w:pPr>
        <w:pStyle w:val="ConsPlusTitle"/>
        <w:jc w:val="both"/>
      </w:pPr>
    </w:p>
    <w:p w:rsidR="002A08BE" w:rsidRDefault="002A08BE">
      <w:pPr>
        <w:pStyle w:val="ConsPlusTitle"/>
        <w:jc w:val="center"/>
      </w:pPr>
      <w:r>
        <w:t>О РЕЙТИНГОВАНИИ УПРАВЛЯЮЩИХ ОРГАНИЗАЦИЙ, ОСУЩЕСТВЛЯЮЩИХ</w:t>
      </w:r>
    </w:p>
    <w:p w:rsidR="002A08BE" w:rsidRDefault="002A08BE">
      <w:pPr>
        <w:pStyle w:val="ConsPlusTitle"/>
        <w:jc w:val="center"/>
      </w:pPr>
      <w:r>
        <w:t>ДЕЯТЕЛЬНОСТЬ ПО УПРАВЛЕНИЮ МНОГОКВАРТИРНЫМИ ДОМАМИ</w:t>
      </w:r>
    </w:p>
    <w:p w:rsidR="002A08BE" w:rsidRDefault="002A08BE">
      <w:pPr>
        <w:pStyle w:val="ConsPlusTitle"/>
        <w:jc w:val="center"/>
      </w:pPr>
      <w:r>
        <w:t>НА ТЕРРИТОРИИ ПЕНЗЕНСКОЙ ОБЛАСТИ</w:t>
      </w:r>
    </w:p>
    <w:p w:rsidR="002A08BE" w:rsidRDefault="002A08BE">
      <w:pPr>
        <w:pStyle w:val="ConsPlusNormal"/>
        <w:ind w:firstLine="540"/>
        <w:jc w:val="both"/>
      </w:pPr>
    </w:p>
    <w:p w:rsidR="002A08BE" w:rsidRDefault="002A08BE">
      <w:pPr>
        <w:pStyle w:val="ConsPlusNormal"/>
        <w:ind w:firstLine="540"/>
        <w:jc w:val="both"/>
      </w:pPr>
      <w:r>
        <w:t xml:space="preserve">В целях обеспечения систематического наблюдения, анализа и прогнозирования состояния исполнения лицензионных требований организациями, осуществляющими деятельность по управлению многоквартирными домами на территории Пензенской области, руководствуясь </w:t>
      </w:r>
      <w:hyperlink r:id="rId5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 xml:space="preserve">1.1. </w:t>
      </w:r>
      <w:hyperlink w:anchor="P32">
        <w:r>
          <w:rPr>
            <w:color w:val="0000FF"/>
          </w:rPr>
          <w:t>Порядок</w:t>
        </w:r>
      </w:hyperlink>
      <w:r>
        <w:t xml:space="preserve"> составления рейтинга управляющих организаций, осуществляющих деятельность по управлению многоквартирными домами на территории Пензенской области;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 xml:space="preserve">1.2. </w:t>
      </w:r>
      <w:hyperlink w:anchor="P69">
        <w:r>
          <w:rPr>
            <w:color w:val="0000FF"/>
          </w:rPr>
          <w:t>Методику</w:t>
        </w:r>
      </w:hyperlink>
      <w:r>
        <w:t xml:space="preserve"> и перечень показателей (критериев) оценки эффективности деятельности управляющих организаций по управлению многоквартирными домами на территории Пензенской области.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6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2A08BE" w:rsidRDefault="002A08BE">
      <w:pPr>
        <w:pStyle w:val="ConsPlusNormal"/>
        <w:ind w:firstLine="540"/>
        <w:jc w:val="both"/>
      </w:pPr>
    </w:p>
    <w:p w:rsidR="002A08BE" w:rsidRDefault="002A08BE">
      <w:pPr>
        <w:pStyle w:val="ConsPlusNormal"/>
        <w:jc w:val="right"/>
      </w:pPr>
      <w:r>
        <w:t>Временно исполняющий обязанности</w:t>
      </w:r>
    </w:p>
    <w:p w:rsidR="002A08BE" w:rsidRDefault="002A08BE">
      <w:pPr>
        <w:pStyle w:val="ConsPlusNormal"/>
        <w:jc w:val="right"/>
      </w:pPr>
      <w:r>
        <w:t>Председателя Правительства</w:t>
      </w:r>
    </w:p>
    <w:p w:rsidR="002A08BE" w:rsidRDefault="002A08BE">
      <w:pPr>
        <w:pStyle w:val="ConsPlusNormal"/>
        <w:jc w:val="right"/>
      </w:pPr>
      <w:r>
        <w:t>Пензенской области</w:t>
      </w:r>
    </w:p>
    <w:p w:rsidR="002A08BE" w:rsidRDefault="002A08BE">
      <w:pPr>
        <w:pStyle w:val="ConsPlusNormal"/>
        <w:jc w:val="right"/>
      </w:pPr>
      <w:r>
        <w:t>В.П.ЩЕКИН</w:t>
      </w:r>
    </w:p>
    <w:p w:rsidR="002A08BE" w:rsidRDefault="002A08BE">
      <w:pPr>
        <w:pStyle w:val="ConsPlusNormal"/>
        <w:ind w:firstLine="540"/>
        <w:jc w:val="both"/>
      </w:pPr>
    </w:p>
    <w:p w:rsidR="002A08BE" w:rsidRDefault="002A08BE">
      <w:pPr>
        <w:pStyle w:val="ConsPlusNormal"/>
        <w:ind w:firstLine="540"/>
        <w:jc w:val="both"/>
      </w:pPr>
    </w:p>
    <w:p w:rsidR="002A08BE" w:rsidRDefault="002A08BE">
      <w:pPr>
        <w:pStyle w:val="ConsPlusNormal"/>
        <w:ind w:firstLine="540"/>
        <w:jc w:val="both"/>
      </w:pPr>
    </w:p>
    <w:p w:rsidR="002A08BE" w:rsidRDefault="002A08BE">
      <w:pPr>
        <w:pStyle w:val="ConsPlusNormal"/>
        <w:ind w:firstLine="540"/>
        <w:jc w:val="both"/>
      </w:pPr>
    </w:p>
    <w:p w:rsidR="002A08BE" w:rsidRDefault="002A08BE">
      <w:pPr>
        <w:pStyle w:val="ConsPlusNormal"/>
        <w:ind w:firstLine="540"/>
        <w:jc w:val="both"/>
      </w:pPr>
    </w:p>
    <w:p w:rsidR="002A08BE" w:rsidRDefault="002A08BE">
      <w:pPr>
        <w:pStyle w:val="ConsPlusNormal"/>
        <w:jc w:val="right"/>
        <w:outlineLvl w:val="0"/>
      </w:pPr>
      <w:r>
        <w:t>Утвержден</w:t>
      </w:r>
    </w:p>
    <w:p w:rsidR="002A08BE" w:rsidRDefault="002A08BE">
      <w:pPr>
        <w:pStyle w:val="ConsPlusNormal"/>
        <w:jc w:val="right"/>
      </w:pPr>
      <w:r>
        <w:t>постановлением</w:t>
      </w:r>
    </w:p>
    <w:p w:rsidR="002A08BE" w:rsidRDefault="002A08BE">
      <w:pPr>
        <w:pStyle w:val="ConsPlusNormal"/>
        <w:jc w:val="right"/>
      </w:pPr>
      <w:r>
        <w:t>Правительства Пензенской области</w:t>
      </w:r>
    </w:p>
    <w:p w:rsidR="002A08BE" w:rsidRDefault="002A08BE">
      <w:pPr>
        <w:pStyle w:val="ConsPlusNormal"/>
        <w:jc w:val="right"/>
      </w:pPr>
      <w:r>
        <w:t>от 22 мая 2025 г. N 467-пП</w:t>
      </w:r>
    </w:p>
    <w:p w:rsidR="002A08BE" w:rsidRDefault="002A08BE">
      <w:pPr>
        <w:pStyle w:val="ConsPlusNormal"/>
        <w:ind w:firstLine="540"/>
        <w:jc w:val="both"/>
      </w:pPr>
    </w:p>
    <w:p w:rsidR="002A08BE" w:rsidRDefault="002A08BE">
      <w:pPr>
        <w:pStyle w:val="ConsPlusTitle"/>
        <w:jc w:val="center"/>
      </w:pPr>
      <w:bookmarkStart w:id="0" w:name="P32"/>
      <w:bookmarkEnd w:id="0"/>
      <w:r>
        <w:t>ПОРЯДОК</w:t>
      </w:r>
    </w:p>
    <w:p w:rsidR="002A08BE" w:rsidRDefault="002A08BE">
      <w:pPr>
        <w:pStyle w:val="ConsPlusTitle"/>
        <w:jc w:val="center"/>
      </w:pPr>
      <w:r>
        <w:t>СОСТАВЛЕНИЯ РЕЙТИНГА УПРАВЛЯЮЩИХ ОРГАНИЗАЦИЙ, ОСУЩЕСТВЛЯЮЩИХ</w:t>
      </w:r>
    </w:p>
    <w:p w:rsidR="002A08BE" w:rsidRDefault="002A08BE">
      <w:pPr>
        <w:pStyle w:val="ConsPlusTitle"/>
        <w:jc w:val="center"/>
      </w:pPr>
      <w:r>
        <w:t>ДЕЯТЕЛЬНОСТЬ ПО УПРАВЛЕНИЮ МНОГОКВАРТИРНЫМИ ДОМАМИ</w:t>
      </w:r>
    </w:p>
    <w:p w:rsidR="002A08BE" w:rsidRDefault="002A08BE">
      <w:pPr>
        <w:pStyle w:val="ConsPlusTitle"/>
        <w:jc w:val="center"/>
      </w:pPr>
      <w:r>
        <w:lastRenderedPageBreak/>
        <w:t>НА ТЕРРИТОРИИ ПЕНЗЕНСКОЙ ОБЛАСТИ</w:t>
      </w:r>
    </w:p>
    <w:p w:rsidR="002A08BE" w:rsidRDefault="002A08BE">
      <w:pPr>
        <w:pStyle w:val="ConsPlusNormal"/>
        <w:ind w:firstLine="540"/>
        <w:jc w:val="both"/>
      </w:pPr>
    </w:p>
    <w:p w:rsidR="002A08BE" w:rsidRDefault="002A08BE">
      <w:pPr>
        <w:pStyle w:val="ConsPlusTitle"/>
        <w:jc w:val="center"/>
        <w:outlineLvl w:val="1"/>
      </w:pPr>
      <w:r>
        <w:t>I. Общие положения</w:t>
      </w:r>
    </w:p>
    <w:p w:rsidR="002A08BE" w:rsidRDefault="002A08BE">
      <w:pPr>
        <w:pStyle w:val="ConsPlusNormal"/>
        <w:ind w:firstLine="540"/>
        <w:jc w:val="both"/>
      </w:pPr>
    </w:p>
    <w:p w:rsidR="002A08BE" w:rsidRDefault="002A08BE">
      <w:pPr>
        <w:pStyle w:val="ConsPlusNormal"/>
        <w:ind w:firstLine="540"/>
        <w:jc w:val="both"/>
      </w:pPr>
      <w:r>
        <w:t>1. Настоящий Порядок определяет организацию работы по составлению рейтинга управляющих организаций, осуществляющих деятельность по управлению многоквартирными домами на территории Пензенской области (далее - Рейтинг, управляющие организации), в целях информирования жителей Пензенской области о деятельности управляющих организаций, создания в Пензенской области условий для добросовестной конкуренции на рынке управления многоквартирными домами, а также в иных целях, определяемых актами Правительства Пензенской области.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2. Рейтинг составляется Министерством жилищно-коммунального хозяйства и гражданской защиты населения Пензенской области (далее - Министерство).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3. Рейтинг представляет собой перечень управляющих организаций, составленный в последовательности, обусловленной количеством баллов, присвоенных в соответствии с Методикой и перечнем показателей (критериев) оценки эффективности деятельности управляющих организаций по управлению многоквартирными домами на территории Пензенской области (далее - Методика), утвержденных постановлением Правительства Пензенской области.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4. Применительно к каждой управляющей организации в строке Рейтинга указываются: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4.1. номер места управляющей организации в соответствии с присвоенными баллами;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4.2. сокращенное наименование управляющей организации;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4.3. идентификационный номер налогоплательщика управляющей организации;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4.4. количество баллов, присвоенных управляющей организации в соответствии с Методикой.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5. Включению в Рейтинг подлежат управляющие организации, фактически приступившие к управлению многоквартирными домами (многоквартирным домом) до 1 января и 1 июля текущего года.</w:t>
      </w:r>
    </w:p>
    <w:p w:rsidR="002A08BE" w:rsidRDefault="002A08BE">
      <w:pPr>
        <w:pStyle w:val="ConsPlusNormal"/>
        <w:ind w:firstLine="540"/>
        <w:jc w:val="both"/>
      </w:pPr>
    </w:p>
    <w:p w:rsidR="002A08BE" w:rsidRDefault="002A08BE">
      <w:pPr>
        <w:pStyle w:val="ConsPlusTitle"/>
        <w:jc w:val="center"/>
        <w:outlineLvl w:val="1"/>
      </w:pPr>
      <w:r>
        <w:t>II. Составление Рейтинга</w:t>
      </w:r>
    </w:p>
    <w:p w:rsidR="002A08BE" w:rsidRDefault="002A08BE">
      <w:pPr>
        <w:pStyle w:val="ConsPlusNormal"/>
        <w:ind w:firstLine="540"/>
        <w:jc w:val="both"/>
      </w:pPr>
    </w:p>
    <w:p w:rsidR="002A08BE" w:rsidRDefault="002A08BE">
      <w:pPr>
        <w:pStyle w:val="ConsPlusNormal"/>
        <w:ind w:firstLine="540"/>
        <w:jc w:val="both"/>
      </w:pPr>
      <w:r>
        <w:t>6. Рейтинг составляется по результатам полугодия, а именно до 21 января и 21 июля текущего года.</w:t>
      </w:r>
    </w:p>
    <w:p w:rsidR="002A08BE" w:rsidRDefault="002A08BE">
      <w:pPr>
        <w:pStyle w:val="ConsPlusNormal"/>
        <w:spacing w:before="220"/>
        <w:ind w:firstLine="540"/>
        <w:jc w:val="both"/>
      </w:pPr>
      <w:bookmarkStart w:id="1" w:name="P52"/>
      <w:bookmarkEnd w:id="1"/>
      <w:r>
        <w:t>7. Должностные лица Министерства, уполномоченные на осуществление регионального государственного лицензионного контроля (надзора) за осуществлением предпринимательской деятельности по управлению многоквартирными домами, представляют начальнику Управления государственной жилищной инспекции Министерства в срок до 13 января и 13 июля текущего года информацию о деятельности управляющих организаций в соответствии с Методикой.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 xml:space="preserve">8. Начальник Управления государственной жилищной инспекции Министерства на основе представленной в соответствии с </w:t>
      </w:r>
      <w:hyperlink w:anchor="P52">
        <w:r>
          <w:rPr>
            <w:color w:val="0000FF"/>
          </w:rPr>
          <w:t>пунктом 7</w:t>
        </w:r>
      </w:hyperlink>
      <w:r>
        <w:t xml:space="preserve"> настоящего Порядка информации в течение трех рабочих дней со дня ее поступления формирует итоговый рейтинг и представляет его на согласование первому заместителю Министра. В течение одного рабочего дня после согласования итогового рейтинга первый заместитель Министра передает его на утверждение Министру.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Рейтинг утверждается в форме приказа Министерства.</w:t>
      </w:r>
    </w:p>
    <w:p w:rsidR="002A08BE" w:rsidRDefault="002A08BE">
      <w:pPr>
        <w:pStyle w:val="ConsPlusNormal"/>
        <w:ind w:firstLine="540"/>
        <w:jc w:val="both"/>
      </w:pPr>
    </w:p>
    <w:p w:rsidR="002A08BE" w:rsidRDefault="002A08BE">
      <w:pPr>
        <w:pStyle w:val="ConsPlusTitle"/>
        <w:jc w:val="center"/>
        <w:outlineLvl w:val="1"/>
      </w:pPr>
      <w:r>
        <w:t>III. Публикация Рейтинга</w:t>
      </w:r>
    </w:p>
    <w:p w:rsidR="002A08BE" w:rsidRDefault="002A08BE">
      <w:pPr>
        <w:pStyle w:val="ConsPlusNormal"/>
        <w:ind w:firstLine="540"/>
        <w:jc w:val="both"/>
      </w:pPr>
    </w:p>
    <w:p w:rsidR="002A08BE" w:rsidRDefault="002A08BE">
      <w:pPr>
        <w:pStyle w:val="ConsPlusNormal"/>
        <w:ind w:firstLine="540"/>
        <w:jc w:val="both"/>
      </w:pPr>
      <w:r>
        <w:lastRenderedPageBreak/>
        <w:t>9. Не позднее двух рабочих дней с даты утверждения Рейтинг размещается на официальном сайте Министерства в информационно-телекоммуникационной сети "Интернет".</w:t>
      </w:r>
    </w:p>
    <w:p w:rsidR="002A08BE" w:rsidRDefault="002A08BE">
      <w:pPr>
        <w:pStyle w:val="ConsPlusNormal"/>
        <w:ind w:firstLine="540"/>
        <w:jc w:val="both"/>
      </w:pPr>
    </w:p>
    <w:p w:rsidR="002A08BE" w:rsidRDefault="002A08BE">
      <w:pPr>
        <w:pStyle w:val="ConsPlusNormal"/>
        <w:ind w:firstLine="540"/>
        <w:jc w:val="both"/>
      </w:pPr>
    </w:p>
    <w:p w:rsidR="002A08BE" w:rsidRDefault="002A08BE">
      <w:pPr>
        <w:pStyle w:val="ConsPlusNormal"/>
        <w:ind w:firstLine="540"/>
        <w:jc w:val="both"/>
      </w:pPr>
    </w:p>
    <w:p w:rsidR="002A08BE" w:rsidRDefault="002A08BE">
      <w:pPr>
        <w:pStyle w:val="ConsPlusNormal"/>
        <w:ind w:firstLine="540"/>
        <w:jc w:val="both"/>
      </w:pPr>
    </w:p>
    <w:p w:rsidR="002A08BE" w:rsidRDefault="002A08BE">
      <w:pPr>
        <w:pStyle w:val="ConsPlusNormal"/>
        <w:ind w:firstLine="540"/>
        <w:jc w:val="both"/>
      </w:pPr>
    </w:p>
    <w:p w:rsidR="002A08BE" w:rsidRDefault="002A08BE">
      <w:pPr>
        <w:pStyle w:val="ConsPlusNormal"/>
        <w:jc w:val="right"/>
        <w:outlineLvl w:val="0"/>
      </w:pPr>
      <w:r>
        <w:t>Утверждены</w:t>
      </w:r>
    </w:p>
    <w:p w:rsidR="002A08BE" w:rsidRDefault="002A08BE">
      <w:pPr>
        <w:pStyle w:val="ConsPlusNormal"/>
        <w:jc w:val="right"/>
      </w:pPr>
      <w:r>
        <w:t>постановлением</w:t>
      </w:r>
    </w:p>
    <w:p w:rsidR="002A08BE" w:rsidRDefault="002A08BE">
      <w:pPr>
        <w:pStyle w:val="ConsPlusNormal"/>
        <w:jc w:val="right"/>
      </w:pPr>
      <w:r>
        <w:t>Правительства Пензенской области</w:t>
      </w:r>
    </w:p>
    <w:p w:rsidR="002A08BE" w:rsidRDefault="002A08BE">
      <w:pPr>
        <w:pStyle w:val="ConsPlusNormal"/>
        <w:jc w:val="right"/>
      </w:pPr>
      <w:bookmarkStart w:id="2" w:name="_GoBack"/>
      <w:r>
        <w:t>от 22 мая 2025 г. N 467-пП</w:t>
      </w:r>
    </w:p>
    <w:p w:rsidR="002A08BE" w:rsidRDefault="002A08BE">
      <w:pPr>
        <w:pStyle w:val="ConsPlusNormal"/>
        <w:ind w:firstLine="540"/>
        <w:jc w:val="both"/>
      </w:pPr>
    </w:p>
    <w:p w:rsidR="002A08BE" w:rsidRDefault="002A08BE">
      <w:pPr>
        <w:pStyle w:val="ConsPlusTitle"/>
        <w:jc w:val="center"/>
      </w:pPr>
      <w:bookmarkStart w:id="3" w:name="P69"/>
      <w:bookmarkEnd w:id="3"/>
      <w:r>
        <w:t>МЕТОДИКА И ПЕРЕЧЕНЬ</w:t>
      </w:r>
    </w:p>
    <w:p w:rsidR="002A08BE" w:rsidRDefault="002A08BE">
      <w:pPr>
        <w:pStyle w:val="ConsPlusTitle"/>
        <w:jc w:val="center"/>
      </w:pPr>
      <w:r>
        <w:t>ПОКАЗАТЕЛЕЙ (КРИТЕРИЕВ) ОЦЕНКИ ЭФФЕКТИВНОСТИ ДЕЯТЕЛЬНОСТИ</w:t>
      </w:r>
    </w:p>
    <w:p w:rsidR="002A08BE" w:rsidRDefault="002A08BE">
      <w:pPr>
        <w:pStyle w:val="ConsPlusTitle"/>
        <w:jc w:val="center"/>
      </w:pPr>
      <w:r>
        <w:t>УПРАВЛЯЮЩИХ ОРГАНИЗАЦИЙ ПО УПРАВЛЕНИЮ МНОГОКВАРТИРНЫМИ</w:t>
      </w:r>
    </w:p>
    <w:p w:rsidR="002A08BE" w:rsidRDefault="002A08BE">
      <w:pPr>
        <w:pStyle w:val="ConsPlusTitle"/>
        <w:jc w:val="center"/>
      </w:pPr>
      <w:r>
        <w:t>ДОМАМИ НА ТЕ</w:t>
      </w:r>
      <w:bookmarkEnd w:id="2"/>
      <w:r>
        <w:t>РРИТОРИИ ПЕНЗЕНСКОЙ ОБЛАСТИ</w:t>
      </w:r>
    </w:p>
    <w:p w:rsidR="002A08BE" w:rsidRDefault="002A08BE">
      <w:pPr>
        <w:pStyle w:val="ConsPlusNormal"/>
        <w:ind w:firstLine="540"/>
        <w:jc w:val="both"/>
      </w:pPr>
    </w:p>
    <w:p w:rsidR="002A08BE" w:rsidRDefault="002A08BE">
      <w:pPr>
        <w:pStyle w:val="ConsPlusNormal"/>
        <w:ind w:firstLine="540"/>
        <w:jc w:val="both"/>
      </w:pPr>
      <w:r>
        <w:t>Рейтинг управляющих организаций показывает качество работы управляющей организации. Рейтинг основывается на уровне доверия собственников помещений в многоквартирных домах (далее - МКД) к работе управляющей организации, а также количестве фактов нарушений (признаков нарушений) законодательства. Информация собрана из открытых источников (Государственная информационная система жилищно-коммунального хозяйства (далее - ГИС ЖКХ), Единый реестр контрольных (надзорных) мероприятий, сайт арбитражного суда).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1. Число домов в управлении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Общее количество МКД, находящихся в управлении управляющей организации на основании договоров управления, включенных в лицензию управляющей организации на отчетную дату, шт.: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- 51 и более - 10 баллов;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- 40 - 50 - 8 баллов;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- 30 - 40 - 6 баллов;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- 20 - 30 - 4 балла;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- 10 - 20 - 2 балла;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- 1 - 10 - 1 балл.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2. Доля проведенных контрольных (надзорных) мероприятий (далее - КНМ) за отчетный период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Показатель рассчитывается по формуле: В = Х / У * 100%, где В - расчетное значение показателя, Х - количество проведенных КНМ, У - общее количество домов, находящихся в управлении.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- 26 и более - 0 баллов;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- 20 - 25 - 2 балла;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- 16 - 20 - 4 балла;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- 11 - 15 - 6 баллов;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lastRenderedPageBreak/>
        <w:t>- 6 - 10 - 8 баллов;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- 0 - 5 - 10 баллов.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3. Доля выданных предписаний за отчетный период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Показатель рассчитывается по формуле: С = Х / У * 100%, где С - расчетное значение показателя, Х - количество предписаний, выданных по итогам КНМ, У - общее количество проведенных КНМ.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- более 50 - 0 баллов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- 40 - 50 - 2 балла;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- 30 - 40 - 4 балла;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- 20 - 30 - 6 баллов;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- 10 - 20 - 8 баллов;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- 0 - 10 - 10 баллов.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4. Количество случаев привлечения к административной ответственности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Показатель рассчитывается по формуле: Д = Х / У * 100%, где Д - расчетное значение показателя, Х - количество постановлений, о привлечении к административной ответственности, У - общее количество проведенных КНМ.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- более 50 - 0 баллов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- 40 - 50 - 2 балла;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- 30 - 40 - 4 балла;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- 20 - 30 - 6 баллов;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- 10 - 20 - 8 баллов;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- 0 - 10 - 10 баллов.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5. Раскрытие информации в ГИС ЖКХ о деятельности организации (отчеты)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Показатель рассчитывается по формуле: О = Х / У * 100%, где О - расчетное значение показателя, Х - количество размещенных в ГИС ЖКХ отчетов об исполнении договора управления, У - количество МКД, по которым должен быть размещен отчет.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- 95 - 100 - 10 баллов;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- 90 - 95 - 5 баллов;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- 85 - 90 - 2 балла;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- менее 85 - 0 баллов.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6. Размещение в ГИС ЖКХ сведений о кадастровых номерах помещений в МКД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 xml:space="preserve">Показатель рассчитывается по формуле: К = Х / У * 100%, где К - расчетное значение показателя, Х - количество помещений, по которым размещены сведения о кадастровых номерах в </w:t>
      </w:r>
      <w:r>
        <w:lastRenderedPageBreak/>
        <w:t>ГИС ЖКХ, У - количество помещений в МКД.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- 95 - 100 - 10 баллов;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- 90 - 95 - 5 баллов;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- 85 - 90 - 2 балла;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- менее 85 - 0 баллов.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7. Размещение в ГИС ЖКХ платежных документов (далее - ПД)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Показатель рассчитывается по формуле: ПД = Х / У * 100%, где ПД - расчетное значение показателя, Х - количество ПД в ГИС ЖКХ, У - количество помещений в ГИС ЖКХ.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- 95 - 100 - 10 баллов;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- 90 - 95 - 5 баллов;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- 85 - 90 - 2 балла;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- менее 85 - 0 баллов.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8. Наличие в арбитражном суде дела о несостоятельности (банкротстве) управляющей организации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Наличие минус 10 баллов;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Отсутствие плюс 10 баллов.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9. Задолженность управляющей организации перед ресурсоснабжающими организациями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Наличие в арбитражном суде дела по взысканию задолженности - 0 баллов;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Отсутствие в арбитражном суде дела по взысканию задолженности - плюс 10 баллов.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Подтвержденная решением арбитражного суда задолженность, превышающая две среднемесячные величины обязательств по договору ресурсоснабжения (грубое нарушение лицензионных требований) - минус 10 баллов.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10. Оценка жителей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Работа с обращениями в системе инцидент-менеджмент (данные Центра управления регионом) (максимум 10 баллов).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- менее 50 - 0 баллов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- 50 - 60 - 2 балла;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- 60 - 70 - 4 балла;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- 70 - 80 - 6 баллов;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- 80 - 90 - 8 баллов;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- 90 - 100 - 10 баллов.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11. Количество неисполненных предписаний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lastRenderedPageBreak/>
        <w:t xml:space="preserve">Рассчитывается как количество протоколов об административных правонарушениях, составленных в отношении управляющей организации в отчетном периоде, предшествующем дню формирования рейтинга, за неисполнение предписаний в соответствии с </w:t>
      </w:r>
      <w:hyperlink r:id="rId7">
        <w:r>
          <w:rPr>
            <w:color w:val="0000FF"/>
          </w:rPr>
          <w:t>ч. 1</w:t>
        </w:r>
      </w:hyperlink>
      <w:r>
        <w:t xml:space="preserve">, </w:t>
      </w:r>
      <w:hyperlink r:id="rId8">
        <w:r>
          <w:rPr>
            <w:color w:val="0000FF"/>
          </w:rPr>
          <w:t>ч. 24 ст. 19.5</w:t>
        </w:r>
      </w:hyperlink>
      <w:r>
        <w:t xml:space="preserve"> Кодекса Российской Федерации об административных правонарушениях (далее - КоАП РФ).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Минус 10 баллов за каждый протокол, шт.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12. Количество случаев воспрепятствования законной деятельности контролирующего органа со стороны управляющей организации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 xml:space="preserve">Рассчитывается как количество протоколов об административных правонарушениях, составленных в отношении управляющей организации в отчетном периоде, предшествующем дню формирования рейтинга, за воспрепятствование законной деятельности должностного лица органа государственного контроля (надзора) в соответствии с </w:t>
      </w:r>
      <w:hyperlink r:id="rId9">
        <w:r>
          <w:rPr>
            <w:color w:val="0000FF"/>
          </w:rPr>
          <w:t>ст. 19.4.1</w:t>
        </w:r>
      </w:hyperlink>
      <w:r>
        <w:t xml:space="preserve"> КоАП РФ.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Минус 10 баллов за каждый протокол, шт.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13. Количество фактов неоплаты наложенных штрафов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 xml:space="preserve">Рассчитывается как количество протоколов об административных правонарушениях, составленных в отношении управляющей организации в отчетном периоде, предшествующем дню формирования рейтинга, за неуплату административного штрафа в срок, предусмотренный </w:t>
      </w:r>
      <w:hyperlink r:id="rId10">
        <w:r>
          <w:rPr>
            <w:color w:val="0000FF"/>
          </w:rPr>
          <w:t>КоАП</w:t>
        </w:r>
      </w:hyperlink>
      <w:r>
        <w:t xml:space="preserve"> РФ, в соответствии с </w:t>
      </w:r>
      <w:hyperlink r:id="rId11">
        <w:r>
          <w:rPr>
            <w:color w:val="0000FF"/>
          </w:rPr>
          <w:t>ст. 20.25</w:t>
        </w:r>
      </w:hyperlink>
      <w:r>
        <w:t xml:space="preserve"> КоАП РФ.</w:t>
      </w:r>
    </w:p>
    <w:p w:rsidR="002A08BE" w:rsidRDefault="002A08BE">
      <w:pPr>
        <w:pStyle w:val="ConsPlusNormal"/>
        <w:spacing w:before="220"/>
        <w:ind w:firstLine="540"/>
        <w:jc w:val="both"/>
      </w:pPr>
      <w:r>
        <w:t>Минус 10 баллов за каждый протокол, шт.</w:t>
      </w:r>
    </w:p>
    <w:p w:rsidR="002A08BE" w:rsidRDefault="002A08BE">
      <w:pPr>
        <w:pStyle w:val="ConsPlusNormal"/>
        <w:ind w:firstLine="540"/>
        <w:jc w:val="both"/>
      </w:pPr>
    </w:p>
    <w:p w:rsidR="002A08BE" w:rsidRDefault="002A08BE">
      <w:pPr>
        <w:pStyle w:val="ConsPlusNormal"/>
        <w:ind w:firstLine="540"/>
        <w:jc w:val="both"/>
      </w:pPr>
    </w:p>
    <w:p w:rsidR="002A08BE" w:rsidRDefault="002A08B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185C" w:rsidRDefault="007D185C"/>
    <w:sectPr w:rsidR="007D185C" w:rsidSect="00314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8BE"/>
    <w:rsid w:val="002A08BE"/>
    <w:rsid w:val="005112D0"/>
    <w:rsid w:val="007D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610A5-3A77-490A-BB8A-B14C6EEE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8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A08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A08B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9480&amp;dst=10448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9480&amp;dst=526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ownloads\www.pravo.gov.ru" TargetMode="External"/><Relationship Id="rId11" Type="http://schemas.openxmlformats.org/officeDocument/2006/relationships/hyperlink" Target="https://login.consultant.ru/link/?req=doc&amp;base=LAW&amp;n=509480&amp;dst=3338" TargetMode="External"/><Relationship Id="rId5" Type="http://schemas.openxmlformats.org/officeDocument/2006/relationships/hyperlink" Target="https://login.consultant.ru/link/?req=doc&amp;base=RLAW021&amp;n=206776&amp;dst=25" TargetMode="External"/><Relationship Id="rId10" Type="http://schemas.openxmlformats.org/officeDocument/2006/relationships/hyperlink" Target="https://login.consultant.ru/link/?req=doc&amp;base=LAW&amp;n=50948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9480&amp;dst=79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2025-07-21T12:49:00Z</dcterms:created>
  <dcterms:modified xsi:type="dcterms:W3CDTF">2025-07-21T12:49:00Z</dcterms:modified>
</cp:coreProperties>
</file>