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F85" w:rsidRPr="00E42EA6" w:rsidRDefault="002F5F85">
      <w:pPr>
        <w:pStyle w:val="ConsPlusNormal"/>
        <w:jc w:val="center"/>
      </w:pPr>
    </w:p>
    <w:p w:rsidR="00EE3106" w:rsidRPr="00841E44" w:rsidRDefault="00B05909" w:rsidP="00EE3106">
      <w:pPr>
        <w:pStyle w:val="ConsPlusNormal"/>
        <w:jc w:val="center"/>
        <w:rPr>
          <w:b/>
          <w:sz w:val="28"/>
          <w:highlight w:val="yellow"/>
        </w:rPr>
      </w:pPr>
      <w:r w:rsidRPr="00841E44">
        <w:rPr>
          <w:b/>
          <w:sz w:val="28"/>
        </w:rPr>
        <w:t xml:space="preserve">Соглашение об условиях осуществления </w:t>
      </w:r>
      <w:r w:rsidR="00EE3106" w:rsidRPr="00841E44">
        <w:rPr>
          <w:b/>
          <w:sz w:val="28"/>
        </w:rPr>
        <w:t xml:space="preserve">регулируемых видов деятельности </w:t>
      </w:r>
    </w:p>
    <w:p w:rsidR="00DC3D90" w:rsidRPr="00A60765" w:rsidRDefault="00DC3D90" w:rsidP="001A2A7E">
      <w:pPr>
        <w:pStyle w:val="ConsPlusNormal"/>
        <w:jc w:val="center"/>
        <w:rPr>
          <w:b/>
          <w:sz w:val="28"/>
        </w:rPr>
      </w:pPr>
      <w:r w:rsidRPr="00A60765">
        <w:rPr>
          <w:b/>
          <w:sz w:val="28"/>
        </w:rPr>
        <w:t xml:space="preserve">между Министерством жилищно-коммунального хозяйства </w:t>
      </w:r>
    </w:p>
    <w:p w:rsidR="00EE3106" w:rsidRPr="00A60765" w:rsidRDefault="00DC3D90" w:rsidP="001A2A7E">
      <w:pPr>
        <w:pStyle w:val="ConsPlusNormal"/>
        <w:jc w:val="center"/>
        <w:rPr>
          <w:b/>
          <w:sz w:val="28"/>
        </w:rPr>
      </w:pPr>
      <w:r w:rsidRPr="00A60765">
        <w:rPr>
          <w:b/>
          <w:sz w:val="28"/>
        </w:rPr>
        <w:t xml:space="preserve">и гражданской защиты населения </w:t>
      </w:r>
      <w:r w:rsidR="000215CC" w:rsidRPr="00A60765">
        <w:rPr>
          <w:b/>
          <w:sz w:val="28"/>
        </w:rPr>
        <w:t xml:space="preserve">Пензенской области </w:t>
      </w:r>
    </w:p>
    <w:p w:rsidR="001A2A7E" w:rsidRPr="00A60765" w:rsidRDefault="00DC3D90" w:rsidP="001A2A7E">
      <w:pPr>
        <w:pStyle w:val="ConsPlusNormal"/>
        <w:jc w:val="center"/>
        <w:rPr>
          <w:b/>
          <w:sz w:val="28"/>
        </w:rPr>
      </w:pPr>
      <w:r w:rsidRPr="00A60765">
        <w:rPr>
          <w:b/>
          <w:sz w:val="28"/>
        </w:rPr>
        <w:t>и ПАО «</w:t>
      </w:r>
      <w:proofErr w:type="spellStart"/>
      <w:r w:rsidRPr="00A60765">
        <w:rPr>
          <w:b/>
          <w:sz w:val="28"/>
        </w:rPr>
        <w:t>Россети</w:t>
      </w:r>
      <w:proofErr w:type="spellEnd"/>
      <w:r w:rsidRPr="00A60765">
        <w:rPr>
          <w:b/>
          <w:sz w:val="28"/>
        </w:rPr>
        <w:t xml:space="preserve"> Волга» </w:t>
      </w:r>
      <w:r w:rsidR="00EE3106" w:rsidRPr="00A60765">
        <w:rPr>
          <w:b/>
          <w:sz w:val="28"/>
        </w:rPr>
        <w:t>на 2025 – 2029 годы</w:t>
      </w:r>
    </w:p>
    <w:p w:rsidR="00507CF4" w:rsidRPr="00A60765" w:rsidRDefault="00507CF4">
      <w:pPr>
        <w:pStyle w:val="ConsPlusNormal"/>
        <w:jc w:val="both"/>
      </w:pPr>
    </w:p>
    <w:p w:rsidR="00BE2ABE" w:rsidRPr="00A60765" w:rsidRDefault="00BE2ABE">
      <w:pPr>
        <w:pStyle w:val="ConsPlusNormal"/>
        <w:jc w:val="both"/>
      </w:pPr>
    </w:p>
    <w:p w:rsidR="00507CF4" w:rsidRPr="00A60765" w:rsidRDefault="00B05909">
      <w:pPr>
        <w:pStyle w:val="ConsPlusNormal"/>
        <w:jc w:val="both"/>
        <w:rPr>
          <w:sz w:val="28"/>
          <w:szCs w:val="28"/>
        </w:rPr>
      </w:pPr>
      <w:r w:rsidRPr="00A60765">
        <w:rPr>
          <w:sz w:val="28"/>
          <w:szCs w:val="28"/>
        </w:rPr>
        <w:t>город</w:t>
      </w:r>
      <w:r w:rsidR="00614A88" w:rsidRPr="00A60765">
        <w:rPr>
          <w:sz w:val="28"/>
          <w:szCs w:val="28"/>
        </w:rPr>
        <w:t xml:space="preserve"> </w:t>
      </w:r>
      <w:r w:rsidRPr="00A60765">
        <w:rPr>
          <w:sz w:val="28"/>
          <w:szCs w:val="28"/>
        </w:rPr>
        <w:t xml:space="preserve">Пенза   </w:t>
      </w:r>
      <w:r w:rsidR="00614A88" w:rsidRPr="00A60765">
        <w:rPr>
          <w:sz w:val="28"/>
          <w:szCs w:val="28"/>
        </w:rPr>
        <w:t xml:space="preserve">                                                             «_____»____________2024</w:t>
      </w:r>
      <w:r w:rsidRPr="00A60765">
        <w:rPr>
          <w:sz w:val="28"/>
          <w:szCs w:val="28"/>
        </w:rPr>
        <w:t xml:space="preserve">  </w:t>
      </w:r>
      <w:r w:rsidR="00614A88" w:rsidRPr="00A60765">
        <w:rPr>
          <w:sz w:val="28"/>
          <w:szCs w:val="28"/>
        </w:rPr>
        <w:t>г.</w:t>
      </w:r>
      <w:r w:rsidRPr="00A60765">
        <w:rPr>
          <w:sz w:val="28"/>
          <w:szCs w:val="28"/>
        </w:rPr>
        <w:t xml:space="preserve">                                         </w:t>
      </w:r>
      <w:r w:rsidR="00614A88" w:rsidRPr="00A60765">
        <w:rPr>
          <w:sz w:val="28"/>
          <w:szCs w:val="28"/>
        </w:rPr>
        <w:t xml:space="preserve">                           </w:t>
      </w:r>
    </w:p>
    <w:p w:rsidR="00507CF4" w:rsidRPr="00A60765" w:rsidRDefault="00507CF4">
      <w:pPr>
        <w:pStyle w:val="ConsPlusNormal"/>
        <w:jc w:val="both"/>
        <w:rPr>
          <w:sz w:val="28"/>
          <w:szCs w:val="28"/>
        </w:rPr>
      </w:pPr>
    </w:p>
    <w:p w:rsidR="00BE2ABE" w:rsidRPr="00A60765" w:rsidRDefault="00BE2ABE" w:rsidP="005850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5F85" w:rsidRPr="00A60765" w:rsidRDefault="00B05909" w:rsidP="005850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0765">
        <w:rPr>
          <w:rFonts w:ascii="Times New Roman" w:hAnsi="Times New Roman" w:cs="Times New Roman"/>
          <w:sz w:val="28"/>
          <w:szCs w:val="28"/>
        </w:rPr>
        <w:t xml:space="preserve">Министерство жилищно-коммунального хозяйства  и гражданской защиты населения Пензенской области, именуемое в дальнейшем «Регулирующий орган», в лице  Министра </w:t>
      </w:r>
      <w:proofErr w:type="spellStart"/>
      <w:r w:rsidRPr="00A60765">
        <w:rPr>
          <w:rFonts w:ascii="Times New Roman" w:hAnsi="Times New Roman" w:cs="Times New Roman"/>
          <w:sz w:val="28"/>
          <w:szCs w:val="28"/>
        </w:rPr>
        <w:t>Панюхина</w:t>
      </w:r>
      <w:proofErr w:type="spellEnd"/>
      <w:r w:rsidRPr="00A60765">
        <w:rPr>
          <w:rFonts w:ascii="Times New Roman" w:hAnsi="Times New Roman" w:cs="Times New Roman"/>
          <w:sz w:val="28"/>
          <w:szCs w:val="28"/>
        </w:rPr>
        <w:t xml:space="preserve"> Михаила Анатольевича, действующего на основании Положения о Министерстве жилищно-коммунального хозяйства и гражданской защиты населения Пен</w:t>
      </w:r>
      <w:r w:rsidR="00B80626" w:rsidRPr="00A60765">
        <w:rPr>
          <w:rFonts w:ascii="Times New Roman" w:hAnsi="Times New Roman" w:cs="Times New Roman"/>
          <w:sz w:val="28"/>
          <w:szCs w:val="28"/>
        </w:rPr>
        <w:t>зенской области, утвержденного п</w:t>
      </w:r>
      <w:r w:rsidRPr="00A60765">
        <w:rPr>
          <w:rFonts w:ascii="Times New Roman" w:hAnsi="Times New Roman" w:cs="Times New Roman"/>
          <w:sz w:val="28"/>
          <w:szCs w:val="28"/>
        </w:rPr>
        <w:t>остановлением Правительства Пензенской области от 19.07.2021 № 424-пП</w:t>
      </w:r>
      <w:r w:rsidR="00BD471D" w:rsidRPr="00A60765">
        <w:rPr>
          <w:rFonts w:ascii="Times New Roman" w:hAnsi="Times New Roman" w:cs="Times New Roman"/>
          <w:sz w:val="28"/>
          <w:szCs w:val="28"/>
        </w:rPr>
        <w:t xml:space="preserve"> (с посл</w:t>
      </w:r>
      <w:r w:rsidR="00BF1DF6" w:rsidRPr="00A60765">
        <w:rPr>
          <w:rFonts w:ascii="Times New Roman" w:hAnsi="Times New Roman" w:cs="Times New Roman"/>
          <w:sz w:val="28"/>
          <w:szCs w:val="28"/>
        </w:rPr>
        <w:t>едующими изменениями)</w:t>
      </w:r>
      <w:r w:rsidRPr="00A60765">
        <w:rPr>
          <w:rFonts w:ascii="Times New Roman" w:hAnsi="Times New Roman" w:cs="Times New Roman"/>
          <w:sz w:val="28"/>
          <w:szCs w:val="28"/>
        </w:rPr>
        <w:t>,</w:t>
      </w:r>
      <w:r w:rsidR="000D4F5D" w:rsidRPr="00A60765">
        <w:rPr>
          <w:rFonts w:ascii="Times New Roman" w:hAnsi="Times New Roman" w:cs="Times New Roman"/>
          <w:sz w:val="28"/>
          <w:szCs w:val="28"/>
        </w:rPr>
        <w:t xml:space="preserve"> с одной стороны,</w:t>
      </w:r>
      <w:r w:rsidR="0063418D" w:rsidRPr="00A60765">
        <w:rPr>
          <w:rFonts w:ascii="Times New Roman" w:hAnsi="Times New Roman" w:cs="Times New Roman"/>
          <w:sz w:val="28"/>
          <w:szCs w:val="28"/>
        </w:rPr>
        <w:t xml:space="preserve"> </w:t>
      </w:r>
      <w:r w:rsidR="000D4F5D" w:rsidRPr="00A60765">
        <w:rPr>
          <w:rFonts w:ascii="Times New Roman" w:hAnsi="Times New Roman" w:cs="Times New Roman"/>
          <w:sz w:val="28"/>
          <w:szCs w:val="28"/>
        </w:rPr>
        <w:t xml:space="preserve">и </w:t>
      </w:r>
      <w:r w:rsidRPr="00A60765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A60765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A60765">
        <w:rPr>
          <w:rFonts w:ascii="Times New Roman" w:hAnsi="Times New Roman" w:cs="Times New Roman"/>
          <w:sz w:val="28"/>
          <w:szCs w:val="28"/>
        </w:rPr>
        <w:t xml:space="preserve"> Волга», именуемое в дальнейшем «Организация», в лице </w:t>
      </w:r>
      <w:r w:rsidR="00920544" w:rsidRPr="00A60765">
        <w:rPr>
          <w:rFonts w:ascii="Times New Roman" w:hAnsi="Times New Roman" w:cs="Times New Roman"/>
          <w:sz w:val="28"/>
          <w:szCs w:val="28"/>
        </w:rPr>
        <w:t>директора филиала</w:t>
      </w:r>
      <w:proofErr w:type="gramEnd"/>
      <w:r w:rsidR="00920544" w:rsidRPr="00A60765">
        <w:rPr>
          <w:rFonts w:ascii="Times New Roman" w:hAnsi="Times New Roman" w:cs="Times New Roman"/>
          <w:sz w:val="28"/>
          <w:szCs w:val="28"/>
        </w:rPr>
        <w:t xml:space="preserve"> «Пензаэнерго» Кузьмина Михаила Васильевича, действующего на основ</w:t>
      </w:r>
      <w:r w:rsidR="00462636" w:rsidRPr="00A60765">
        <w:rPr>
          <w:rFonts w:ascii="Times New Roman" w:hAnsi="Times New Roman" w:cs="Times New Roman"/>
          <w:sz w:val="28"/>
          <w:szCs w:val="28"/>
        </w:rPr>
        <w:t>ании доверенности от 09.04.2024</w:t>
      </w:r>
      <w:proofErr w:type="gramStart"/>
      <w:r w:rsidR="00462636" w:rsidRPr="00A60765">
        <w:rPr>
          <w:rFonts w:ascii="Times New Roman" w:hAnsi="Times New Roman" w:cs="Times New Roman"/>
          <w:sz w:val="28"/>
          <w:szCs w:val="28"/>
        </w:rPr>
        <w:t xml:space="preserve"> </w:t>
      </w:r>
      <w:r w:rsidR="00920544" w:rsidRPr="00A60765">
        <w:rPr>
          <w:rFonts w:ascii="Times New Roman" w:hAnsi="Times New Roman" w:cs="Times New Roman"/>
          <w:sz w:val="28"/>
          <w:szCs w:val="28"/>
        </w:rPr>
        <w:t>№ Д</w:t>
      </w:r>
      <w:proofErr w:type="gramEnd"/>
      <w:r w:rsidR="00920544" w:rsidRPr="00A60765">
        <w:rPr>
          <w:rFonts w:ascii="Times New Roman" w:hAnsi="Times New Roman" w:cs="Times New Roman"/>
          <w:sz w:val="28"/>
          <w:szCs w:val="28"/>
        </w:rPr>
        <w:t>/24-211</w:t>
      </w:r>
      <w:r w:rsidRPr="00A60765">
        <w:rPr>
          <w:rFonts w:ascii="Times New Roman" w:hAnsi="Times New Roman" w:cs="Times New Roman"/>
          <w:sz w:val="28"/>
          <w:szCs w:val="28"/>
        </w:rPr>
        <w:t xml:space="preserve">, с другой стороны, далее </w:t>
      </w:r>
      <w:r w:rsidR="000D4F5D" w:rsidRPr="00A60765">
        <w:rPr>
          <w:rFonts w:ascii="Times New Roman" w:hAnsi="Times New Roman" w:cs="Times New Roman"/>
          <w:sz w:val="28"/>
          <w:szCs w:val="28"/>
        </w:rPr>
        <w:t xml:space="preserve">совместно </w:t>
      </w:r>
      <w:r w:rsidRPr="00A60765">
        <w:rPr>
          <w:rFonts w:ascii="Times New Roman" w:hAnsi="Times New Roman" w:cs="Times New Roman"/>
          <w:sz w:val="28"/>
          <w:szCs w:val="28"/>
        </w:rPr>
        <w:t xml:space="preserve">именуемые «Стороны», в соответствии с Федеральным законом </w:t>
      </w:r>
      <w:r w:rsidR="006871B1" w:rsidRPr="00A60765">
        <w:rPr>
          <w:rFonts w:ascii="Times New Roman" w:hAnsi="Times New Roman" w:cs="Times New Roman"/>
          <w:sz w:val="28"/>
          <w:szCs w:val="28"/>
        </w:rPr>
        <w:t xml:space="preserve">от 26.03.2003 № 35-ФЗ </w:t>
      </w:r>
      <w:r w:rsidRPr="00A60765">
        <w:rPr>
          <w:rFonts w:ascii="Times New Roman" w:hAnsi="Times New Roman" w:cs="Times New Roman"/>
          <w:sz w:val="28"/>
          <w:szCs w:val="28"/>
        </w:rPr>
        <w:t>«Об электроэнергетике»</w:t>
      </w:r>
      <w:r w:rsidR="00BD471D" w:rsidRPr="00A60765">
        <w:rPr>
          <w:rFonts w:ascii="Times New Roman" w:hAnsi="Times New Roman" w:cs="Times New Roman"/>
          <w:sz w:val="28"/>
          <w:szCs w:val="28"/>
        </w:rPr>
        <w:t xml:space="preserve"> (с по</w:t>
      </w:r>
      <w:r w:rsidR="00BF1DF6" w:rsidRPr="00A60765">
        <w:rPr>
          <w:rFonts w:ascii="Times New Roman" w:hAnsi="Times New Roman" w:cs="Times New Roman"/>
          <w:sz w:val="28"/>
          <w:szCs w:val="28"/>
        </w:rPr>
        <w:t>с</w:t>
      </w:r>
      <w:r w:rsidR="00BD471D" w:rsidRPr="00A60765">
        <w:rPr>
          <w:rFonts w:ascii="Times New Roman" w:hAnsi="Times New Roman" w:cs="Times New Roman"/>
          <w:sz w:val="28"/>
          <w:szCs w:val="28"/>
        </w:rPr>
        <w:t>л</w:t>
      </w:r>
      <w:r w:rsidR="00BF1DF6" w:rsidRPr="00A60765">
        <w:rPr>
          <w:rFonts w:ascii="Times New Roman" w:hAnsi="Times New Roman" w:cs="Times New Roman"/>
          <w:sz w:val="28"/>
          <w:szCs w:val="28"/>
        </w:rPr>
        <w:t>едующими изменениями)</w:t>
      </w:r>
      <w:r w:rsidRPr="00A60765">
        <w:rPr>
          <w:rFonts w:ascii="Times New Roman" w:hAnsi="Times New Roman" w:cs="Times New Roman"/>
          <w:sz w:val="28"/>
          <w:szCs w:val="28"/>
        </w:rPr>
        <w:t xml:space="preserve"> и Правилами заключения, изменения и расторжения соглашений об условиях осуществления регулируемых видов деятельности, утвержденными постановлением Правительства Российской Ф</w:t>
      </w:r>
      <w:r w:rsidR="00C85784" w:rsidRPr="00A60765">
        <w:rPr>
          <w:rFonts w:ascii="Times New Roman" w:hAnsi="Times New Roman" w:cs="Times New Roman"/>
          <w:sz w:val="28"/>
          <w:szCs w:val="28"/>
        </w:rPr>
        <w:t>едерации от 31.08.</w:t>
      </w:r>
      <w:r w:rsidR="006871B1" w:rsidRPr="00A60765">
        <w:rPr>
          <w:rFonts w:ascii="Times New Roman" w:hAnsi="Times New Roman" w:cs="Times New Roman"/>
          <w:sz w:val="28"/>
          <w:szCs w:val="28"/>
        </w:rPr>
        <w:t>2023</w:t>
      </w:r>
      <w:r w:rsidR="00C85784" w:rsidRPr="00A60765">
        <w:rPr>
          <w:rFonts w:ascii="Times New Roman" w:hAnsi="Times New Roman" w:cs="Times New Roman"/>
          <w:sz w:val="28"/>
          <w:szCs w:val="28"/>
        </w:rPr>
        <w:t xml:space="preserve"> </w:t>
      </w:r>
      <w:r w:rsidR="006871B1" w:rsidRPr="00A60765">
        <w:rPr>
          <w:rFonts w:ascii="Times New Roman" w:hAnsi="Times New Roman" w:cs="Times New Roman"/>
          <w:sz w:val="28"/>
          <w:szCs w:val="28"/>
        </w:rPr>
        <w:t xml:space="preserve"> </w:t>
      </w:r>
      <w:r w:rsidRPr="00A60765">
        <w:rPr>
          <w:rFonts w:ascii="Times New Roman" w:hAnsi="Times New Roman" w:cs="Times New Roman"/>
          <w:sz w:val="28"/>
          <w:szCs w:val="28"/>
        </w:rPr>
        <w:t>№ 1416 «О соглашениях об условиях осуществления регулируемых видов деятельности» (далее - Правила заключения, изменения и расторжения соглашений об условиях осуществления регулируемых видов деятельности), заключили настоящее Соглашение о нижеследующем.</w:t>
      </w:r>
    </w:p>
    <w:p w:rsidR="002F5F85" w:rsidRPr="00A60765" w:rsidRDefault="002F5F85">
      <w:pPr>
        <w:pStyle w:val="ConsPlusNormal"/>
        <w:jc w:val="both"/>
        <w:rPr>
          <w:sz w:val="28"/>
          <w:szCs w:val="28"/>
        </w:rPr>
      </w:pPr>
    </w:p>
    <w:p w:rsidR="002F5F85" w:rsidRPr="00A60765" w:rsidRDefault="00B05909">
      <w:pPr>
        <w:pStyle w:val="ConsPlusNormal"/>
        <w:jc w:val="center"/>
        <w:outlineLvl w:val="1"/>
        <w:rPr>
          <w:b/>
          <w:sz w:val="28"/>
          <w:szCs w:val="28"/>
        </w:rPr>
      </w:pPr>
      <w:r w:rsidRPr="00A60765">
        <w:rPr>
          <w:b/>
          <w:sz w:val="28"/>
          <w:szCs w:val="28"/>
        </w:rPr>
        <w:t>I. Предмет С</w:t>
      </w:r>
      <w:r w:rsidR="00507CF4" w:rsidRPr="00A60765">
        <w:rPr>
          <w:b/>
          <w:sz w:val="28"/>
          <w:szCs w:val="28"/>
        </w:rPr>
        <w:t>оглашения</w:t>
      </w:r>
    </w:p>
    <w:p w:rsidR="002F5F85" w:rsidRPr="00A60765" w:rsidRDefault="002F5F85">
      <w:pPr>
        <w:pStyle w:val="ConsPlusNormal"/>
        <w:jc w:val="both"/>
        <w:rPr>
          <w:sz w:val="28"/>
          <w:szCs w:val="28"/>
        </w:rPr>
      </w:pPr>
    </w:p>
    <w:p w:rsidR="002F5F85" w:rsidRPr="00A60765" w:rsidRDefault="00B059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65">
        <w:rPr>
          <w:rFonts w:ascii="Times New Roman" w:hAnsi="Times New Roman" w:cs="Times New Roman"/>
          <w:sz w:val="28"/>
          <w:szCs w:val="28"/>
        </w:rPr>
        <w:t>1. В соответствии с настоящим С</w:t>
      </w:r>
      <w:r w:rsidR="00507CF4" w:rsidRPr="00A60765">
        <w:rPr>
          <w:rFonts w:ascii="Times New Roman" w:hAnsi="Times New Roman" w:cs="Times New Roman"/>
          <w:sz w:val="28"/>
          <w:szCs w:val="28"/>
        </w:rPr>
        <w:t>оглашением Организация принимает на себя обязательства осуществлять регулируемую деятельность по оказанию услуг по передаче электрической энергии и достичь плановых значений показателей надежности и качества услуг по передаче электрической энергии, уровня потерь электрической энергии при ее передаче по электрическим сетям, осуществить реализацию инвестиционной программы Организации в соответствии с решениями об утверждении инвестиционной программы Организации и (или) изменений, которые вносятся в инвестиционную программу Организации, принятыми в порядке, установленном законодательством Российской Федерации об электроэнергетике, и соблюдать иные условия, предусмотренные настоящим Соглашением, а Регулирующий орган обязуется устанавливать единые (котловые) тарифы на услуги по передаче электрической энергии (мощности) на территории</w:t>
      </w:r>
      <w:r w:rsidR="00507CF4" w:rsidRPr="00A60765">
        <w:rPr>
          <w:rFonts w:ascii="Times New Roman" w:hAnsi="Times New Roman" w:cs="Times New Roman"/>
          <w:color w:val="0F5994"/>
          <w:sz w:val="28"/>
          <w:szCs w:val="28"/>
        </w:rPr>
        <w:t xml:space="preserve"> </w:t>
      </w:r>
      <w:r w:rsidR="00507CF4" w:rsidRPr="00A60765">
        <w:rPr>
          <w:rFonts w:ascii="Times New Roman" w:hAnsi="Times New Roman" w:cs="Times New Roman"/>
          <w:sz w:val="28"/>
          <w:szCs w:val="28"/>
        </w:rPr>
        <w:t>Пензенской области в порядке, предусмотренном настоящим Соглашением, и соблюдать иные усло</w:t>
      </w:r>
      <w:r w:rsidR="00B71230" w:rsidRPr="00A60765">
        <w:rPr>
          <w:rFonts w:ascii="Times New Roman" w:hAnsi="Times New Roman" w:cs="Times New Roman"/>
          <w:sz w:val="28"/>
          <w:szCs w:val="28"/>
        </w:rPr>
        <w:t>вия, предусмотренные настоящим С</w:t>
      </w:r>
      <w:r w:rsidR="00507CF4" w:rsidRPr="00A60765">
        <w:rPr>
          <w:rFonts w:ascii="Times New Roman" w:hAnsi="Times New Roman" w:cs="Times New Roman"/>
          <w:sz w:val="28"/>
          <w:szCs w:val="28"/>
        </w:rPr>
        <w:t>оглашением.</w:t>
      </w:r>
    </w:p>
    <w:p w:rsidR="002F5F85" w:rsidRPr="00A60765" w:rsidRDefault="002F5F85">
      <w:pPr>
        <w:pStyle w:val="ConsPlusNormal"/>
        <w:jc w:val="both"/>
        <w:rPr>
          <w:sz w:val="28"/>
          <w:szCs w:val="28"/>
        </w:rPr>
      </w:pPr>
    </w:p>
    <w:p w:rsidR="002F5F85" w:rsidRPr="00A60765" w:rsidRDefault="00B05909">
      <w:pPr>
        <w:pStyle w:val="ConsPlusNormal"/>
        <w:jc w:val="center"/>
        <w:outlineLvl w:val="1"/>
        <w:rPr>
          <w:b/>
          <w:sz w:val="28"/>
          <w:szCs w:val="28"/>
        </w:rPr>
      </w:pPr>
      <w:r w:rsidRPr="00A60765">
        <w:rPr>
          <w:b/>
          <w:sz w:val="28"/>
          <w:szCs w:val="28"/>
        </w:rPr>
        <w:lastRenderedPageBreak/>
        <w:t>II. Обязательства С</w:t>
      </w:r>
      <w:r w:rsidR="00507CF4" w:rsidRPr="00A60765">
        <w:rPr>
          <w:b/>
          <w:sz w:val="28"/>
          <w:szCs w:val="28"/>
        </w:rPr>
        <w:t>торон</w:t>
      </w:r>
    </w:p>
    <w:p w:rsidR="002F5F85" w:rsidRPr="00A60765" w:rsidRDefault="002F5F85">
      <w:pPr>
        <w:pStyle w:val="ConsPlusNormal"/>
        <w:jc w:val="both"/>
        <w:rPr>
          <w:sz w:val="28"/>
          <w:szCs w:val="28"/>
        </w:rPr>
      </w:pPr>
    </w:p>
    <w:p w:rsidR="002F5F85" w:rsidRPr="00A60765" w:rsidRDefault="00B059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34"/>
      <w:bookmarkEnd w:id="0"/>
      <w:r w:rsidRPr="00A60765">
        <w:rPr>
          <w:rFonts w:ascii="Times New Roman" w:hAnsi="Times New Roman" w:cs="Times New Roman"/>
          <w:sz w:val="28"/>
          <w:szCs w:val="28"/>
        </w:rPr>
        <w:t>2. К обязательствам Организации в соответствии с настоящим Соглашением относятся:</w:t>
      </w:r>
    </w:p>
    <w:p w:rsidR="002F5F85" w:rsidRPr="00A60765" w:rsidRDefault="00B05909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A60765">
        <w:rPr>
          <w:rFonts w:ascii="Times New Roman" w:hAnsi="Times New Roman" w:cs="Times New Roman"/>
          <w:sz w:val="28"/>
          <w:szCs w:val="28"/>
        </w:rPr>
        <w:t>а) достижение следующих плановых значений показателей надежности</w:t>
      </w:r>
      <w:r w:rsidRPr="00A60765">
        <w:rPr>
          <w:rFonts w:ascii="Times New Roman" w:hAnsi="Times New Roman" w:cs="Times New Roman"/>
          <w:sz w:val="28"/>
        </w:rPr>
        <w:t xml:space="preserve"> оказываемых услуг по передаче электрической энергии:</w:t>
      </w:r>
    </w:p>
    <w:p w:rsidR="002F5F85" w:rsidRPr="00A60765" w:rsidRDefault="00531452" w:rsidP="00C85784">
      <w:pPr>
        <w:pStyle w:val="ConsPlusNonformat"/>
        <w:jc w:val="right"/>
        <w:rPr>
          <w:rFonts w:ascii="Times New Roman" w:hAnsi="Times New Roman" w:cs="Times New Roman"/>
          <w:sz w:val="28"/>
        </w:rPr>
      </w:pPr>
      <w:r w:rsidRPr="00A60765">
        <w:rPr>
          <w:rFonts w:ascii="Times New Roman" w:hAnsi="Times New Roman" w:cs="Times New Roman"/>
          <w:sz w:val="24"/>
        </w:rPr>
        <w:t>Таблица 1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649"/>
        <w:gridCol w:w="2058"/>
        <w:gridCol w:w="971"/>
        <w:gridCol w:w="1279"/>
        <w:gridCol w:w="1116"/>
        <w:gridCol w:w="1152"/>
        <w:gridCol w:w="1134"/>
        <w:gridCol w:w="1134"/>
      </w:tblGrid>
      <w:tr w:rsidR="00920544" w:rsidRPr="00A60765" w:rsidTr="00920544">
        <w:tc>
          <w:tcPr>
            <w:tcW w:w="649" w:type="dxa"/>
            <w:vAlign w:val="center"/>
          </w:tcPr>
          <w:p w:rsidR="00920544" w:rsidRPr="00A60765" w:rsidRDefault="00920544" w:rsidP="0092054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58" w:type="dxa"/>
            <w:vAlign w:val="center"/>
          </w:tcPr>
          <w:p w:rsidR="00920544" w:rsidRPr="00A60765" w:rsidRDefault="00920544" w:rsidP="0092054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71" w:type="dxa"/>
            <w:vAlign w:val="center"/>
          </w:tcPr>
          <w:p w:rsidR="00920544" w:rsidRPr="00A60765" w:rsidRDefault="00920544" w:rsidP="0092054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279" w:type="dxa"/>
            <w:vAlign w:val="center"/>
          </w:tcPr>
          <w:p w:rsidR="00920544" w:rsidRPr="00A60765" w:rsidRDefault="00920544" w:rsidP="0092054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116" w:type="dxa"/>
            <w:vAlign w:val="center"/>
          </w:tcPr>
          <w:p w:rsidR="00920544" w:rsidRPr="00A60765" w:rsidRDefault="00920544" w:rsidP="0092054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152" w:type="dxa"/>
            <w:vAlign w:val="center"/>
          </w:tcPr>
          <w:p w:rsidR="00920544" w:rsidRPr="00A60765" w:rsidRDefault="00920544" w:rsidP="0092054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134" w:type="dxa"/>
            <w:vAlign w:val="center"/>
          </w:tcPr>
          <w:p w:rsidR="00920544" w:rsidRPr="00A60765" w:rsidRDefault="00920544" w:rsidP="0092054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134" w:type="dxa"/>
            <w:vAlign w:val="center"/>
          </w:tcPr>
          <w:p w:rsidR="00920544" w:rsidRPr="00A60765" w:rsidRDefault="00920544" w:rsidP="0092054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2029 год</w:t>
            </w:r>
          </w:p>
        </w:tc>
      </w:tr>
      <w:tr w:rsidR="00920544" w:rsidRPr="00A60765" w:rsidTr="00920544">
        <w:trPr>
          <w:trHeight w:val="1610"/>
        </w:trPr>
        <w:tc>
          <w:tcPr>
            <w:tcW w:w="649" w:type="dxa"/>
            <w:vAlign w:val="center"/>
          </w:tcPr>
          <w:p w:rsidR="00920544" w:rsidRPr="00A60765" w:rsidRDefault="00920544" w:rsidP="0092054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58" w:type="dxa"/>
            <w:vAlign w:val="center"/>
          </w:tcPr>
          <w:p w:rsidR="00920544" w:rsidRPr="00A60765" w:rsidRDefault="00920544" w:rsidP="00920544">
            <w:pPr>
              <w:pStyle w:val="ConsPlusNonformat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Показатель средней продолжительности прекращений передачи электрической энергии на точку поставки (</w:t>
            </w:r>
            <w:proofErr w:type="spellStart"/>
            <w:r w:rsidRPr="00A60765">
              <w:rPr>
                <w:rFonts w:ascii="Times New Roman" w:hAnsi="Times New Roman" w:cs="Times New Roman"/>
              </w:rPr>
              <w:t>Пsaidi</w:t>
            </w:r>
            <w:proofErr w:type="spellEnd"/>
            <w:r w:rsidRPr="00A607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1" w:type="dxa"/>
            <w:vAlign w:val="center"/>
          </w:tcPr>
          <w:p w:rsidR="00920544" w:rsidRPr="00A60765" w:rsidRDefault="00920544" w:rsidP="0092054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час.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20544" w:rsidRPr="00A60765" w:rsidRDefault="00920544" w:rsidP="0092054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1,12360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0544" w:rsidRPr="00A60765" w:rsidRDefault="00920544" w:rsidP="0092054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1,10680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0544" w:rsidRPr="00A60765" w:rsidRDefault="00920544" w:rsidP="0092054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1,09020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0544" w:rsidRPr="00A60765" w:rsidRDefault="004B2C01" w:rsidP="0092054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1,07382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0544" w:rsidRPr="00A60765" w:rsidRDefault="004B2C01" w:rsidP="0092054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1,05771</w:t>
            </w:r>
          </w:p>
        </w:tc>
      </w:tr>
      <w:tr w:rsidR="00920544" w:rsidRPr="00A60765" w:rsidTr="00920544">
        <w:trPr>
          <w:trHeight w:val="1610"/>
        </w:trPr>
        <w:tc>
          <w:tcPr>
            <w:tcW w:w="649" w:type="dxa"/>
            <w:vAlign w:val="center"/>
          </w:tcPr>
          <w:p w:rsidR="00920544" w:rsidRPr="00A60765" w:rsidRDefault="00920544" w:rsidP="0092054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58" w:type="dxa"/>
            <w:vAlign w:val="center"/>
          </w:tcPr>
          <w:p w:rsidR="00920544" w:rsidRPr="00A60765" w:rsidRDefault="00920544" w:rsidP="00920544">
            <w:pPr>
              <w:pStyle w:val="ConsPlusNonformat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Показатель средней частоты прекращений передачи электрической энергии на точку поставки (</w:t>
            </w:r>
            <w:proofErr w:type="spellStart"/>
            <w:r w:rsidRPr="00A60765">
              <w:rPr>
                <w:rFonts w:ascii="Times New Roman" w:hAnsi="Times New Roman" w:cs="Times New Roman"/>
              </w:rPr>
              <w:t>Пsaifi</w:t>
            </w:r>
            <w:proofErr w:type="spellEnd"/>
            <w:r w:rsidRPr="00A607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1" w:type="dxa"/>
            <w:vAlign w:val="center"/>
          </w:tcPr>
          <w:p w:rsidR="00920544" w:rsidRPr="00A60765" w:rsidRDefault="00920544" w:rsidP="0092054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544" w:rsidRPr="00A60765" w:rsidRDefault="00920544" w:rsidP="0092054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0,84600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544" w:rsidRPr="00A60765" w:rsidRDefault="00920544" w:rsidP="0092054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0,83330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544" w:rsidRPr="00A60765" w:rsidRDefault="00920544" w:rsidP="0092054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0,82080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544" w:rsidRPr="00A60765" w:rsidRDefault="004B2C01" w:rsidP="0092054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0,80850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544" w:rsidRPr="00A60765" w:rsidRDefault="004B2C01" w:rsidP="0092054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0,79638</w:t>
            </w:r>
          </w:p>
        </w:tc>
      </w:tr>
    </w:tbl>
    <w:p w:rsidR="002F5F85" w:rsidRPr="00A60765" w:rsidRDefault="00B05909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A60765">
        <w:rPr>
          <w:rFonts w:ascii="Times New Roman" w:hAnsi="Times New Roman" w:cs="Times New Roman"/>
          <w:sz w:val="28"/>
        </w:rPr>
        <w:t>б) достижение следующих плановых значений показателей качества оказываемых услуг по передаче электрической энергии:</w:t>
      </w:r>
    </w:p>
    <w:p w:rsidR="002F5F85" w:rsidRPr="00A60765" w:rsidRDefault="00B05909">
      <w:pPr>
        <w:pStyle w:val="ConsPlusNonformat"/>
        <w:ind w:firstLine="709"/>
        <w:jc w:val="right"/>
        <w:rPr>
          <w:rFonts w:ascii="Times New Roman" w:hAnsi="Times New Roman" w:cs="Times New Roman"/>
          <w:sz w:val="28"/>
        </w:rPr>
      </w:pPr>
      <w:r w:rsidRPr="00A60765">
        <w:rPr>
          <w:rFonts w:ascii="Times New Roman" w:hAnsi="Times New Roman" w:cs="Times New Roman"/>
          <w:sz w:val="24"/>
        </w:rPr>
        <w:t>Таблица 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104"/>
        <w:gridCol w:w="1108"/>
        <w:gridCol w:w="1114"/>
        <w:gridCol w:w="1114"/>
        <w:gridCol w:w="1114"/>
        <w:gridCol w:w="1114"/>
        <w:gridCol w:w="1114"/>
      </w:tblGrid>
      <w:tr w:rsidR="003033BA" w:rsidRPr="00A60765">
        <w:tc>
          <w:tcPr>
            <w:tcW w:w="704" w:type="dxa"/>
            <w:vAlign w:val="center"/>
          </w:tcPr>
          <w:p w:rsidR="002F5F85" w:rsidRPr="00A60765" w:rsidRDefault="00B0590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04" w:type="dxa"/>
            <w:vAlign w:val="center"/>
          </w:tcPr>
          <w:p w:rsidR="002F5F85" w:rsidRPr="00A60765" w:rsidRDefault="00B0590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08" w:type="dxa"/>
            <w:vAlign w:val="center"/>
          </w:tcPr>
          <w:p w:rsidR="002F5F85" w:rsidRPr="00A60765" w:rsidRDefault="00B0590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114" w:type="dxa"/>
            <w:vAlign w:val="center"/>
          </w:tcPr>
          <w:p w:rsidR="002F5F85" w:rsidRPr="00A60765" w:rsidRDefault="00B0590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114" w:type="dxa"/>
            <w:vAlign w:val="center"/>
          </w:tcPr>
          <w:p w:rsidR="002F5F85" w:rsidRPr="00A60765" w:rsidRDefault="00B0590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114" w:type="dxa"/>
            <w:vAlign w:val="center"/>
          </w:tcPr>
          <w:p w:rsidR="002F5F85" w:rsidRPr="00A60765" w:rsidRDefault="00B0590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114" w:type="dxa"/>
            <w:vAlign w:val="center"/>
          </w:tcPr>
          <w:p w:rsidR="002F5F85" w:rsidRPr="00A60765" w:rsidRDefault="00B0590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114" w:type="dxa"/>
            <w:vAlign w:val="center"/>
          </w:tcPr>
          <w:p w:rsidR="002F5F85" w:rsidRPr="00A60765" w:rsidRDefault="00B0590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2029 год</w:t>
            </w:r>
          </w:p>
        </w:tc>
      </w:tr>
      <w:tr w:rsidR="003033BA" w:rsidRPr="00A60765" w:rsidTr="0058503A">
        <w:tc>
          <w:tcPr>
            <w:tcW w:w="704" w:type="dxa"/>
            <w:vAlign w:val="center"/>
          </w:tcPr>
          <w:p w:rsidR="002F5F85" w:rsidRPr="00A60765" w:rsidRDefault="00B0590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04" w:type="dxa"/>
            <w:vAlign w:val="center"/>
          </w:tcPr>
          <w:p w:rsidR="002F5F85" w:rsidRPr="00A60765" w:rsidRDefault="00B05909">
            <w:pPr>
              <w:pStyle w:val="ConsPlusNonformat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Показатель уровня качества осуществляемого технологического присоединения к сети (</w:t>
            </w:r>
            <w:proofErr w:type="spellStart"/>
            <w:r w:rsidRPr="00A60765">
              <w:rPr>
                <w:rFonts w:ascii="Times New Roman" w:hAnsi="Times New Roman" w:cs="Times New Roman"/>
              </w:rPr>
              <w:t>Птпр</w:t>
            </w:r>
            <w:proofErr w:type="spellEnd"/>
            <w:r w:rsidRPr="00A607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8" w:type="dxa"/>
            <w:vAlign w:val="center"/>
          </w:tcPr>
          <w:p w:rsidR="002F5F85" w:rsidRPr="00A60765" w:rsidRDefault="00B0590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920544" w:rsidRPr="00A60765" w:rsidRDefault="00920544" w:rsidP="0058503A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60765">
              <w:rPr>
                <w:rFonts w:ascii="Times New Roman" w:hAnsi="Times New Roman"/>
              </w:rPr>
              <w:t>1,00000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920544" w:rsidRPr="00A60765" w:rsidRDefault="00920544" w:rsidP="0058503A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60765">
              <w:rPr>
                <w:rFonts w:ascii="Times New Roman" w:hAnsi="Times New Roman"/>
              </w:rPr>
              <w:t>1,00000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920544" w:rsidRPr="00A60765" w:rsidRDefault="00920544" w:rsidP="0058503A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60765">
              <w:rPr>
                <w:rFonts w:ascii="Times New Roman" w:hAnsi="Times New Roman"/>
              </w:rPr>
              <w:t>1,00000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920544" w:rsidRPr="00A60765" w:rsidRDefault="004B2C01" w:rsidP="0058503A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60765">
              <w:rPr>
                <w:rFonts w:ascii="Times New Roman" w:hAnsi="Times New Roman" w:cs="Times New Roman"/>
              </w:rPr>
              <w:t>1,00000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920544" w:rsidRPr="00A60765" w:rsidRDefault="004B2C01" w:rsidP="0058503A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60765">
              <w:rPr>
                <w:rFonts w:ascii="Times New Roman" w:hAnsi="Times New Roman" w:cs="Times New Roman"/>
              </w:rPr>
              <w:t>1,00000</w:t>
            </w:r>
          </w:p>
        </w:tc>
      </w:tr>
    </w:tbl>
    <w:p w:rsidR="002F5F85" w:rsidRPr="00A60765" w:rsidRDefault="00B05909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A60765">
        <w:rPr>
          <w:rFonts w:ascii="Times New Roman" w:hAnsi="Times New Roman" w:cs="Times New Roman"/>
          <w:sz w:val="28"/>
        </w:rPr>
        <w:t>Оценка достижения указанных в подпункт</w:t>
      </w:r>
      <w:r w:rsidR="00531452" w:rsidRPr="00A60765">
        <w:rPr>
          <w:rFonts w:ascii="Times New Roman" w:hAnsi="Times New Roman" w:cs="Times New Roman"/>
          <w:sz w:val="28"/>
        </w:rPr>
        <w:t>е</w:t>
      </w:r>
      <w:r w:rsidRPr="00A60765">
        <w:rPr>
          <w:rFonts w:ascii="Times New Roman" w:hAnsi="Times New Roman" w:cs="Times New Roman"/>
          <w:sz w:val="28"/>
        </w:rPr>
        <w:t xml:space="preserve"> «а» </w:t>
      </w:r>
      <w:r w:rsidR="00531452" w:rsidRPr="00A60765">
        <w:rPr>
          <w:rFonts w:ascii="Times New Roman" w:hAnsi="Times New Roman" w:cs="Times New Roman"/>
          <w:sz w:val="28"/>
        </w:rPr>
        <w:t xml:space="preserve">пункта 2 </w:t>
      </w:r>
      <w:r w:rsidR="003B326A" w:rsidRPr="00A60765">
        <w:rPr>
          <w:rFonts w:ascii="Times New Roman" w:hAnsi="Times New Roman" w:cs="Times New Roman"/>
          <w:sz w:val="28"/>
        </w:rPr>
        <w:t xml:space="preserve">Соглашения </w:t>
      </w:r>
      <w:r w:rsidRPr="00A60765">
        <w:rPr>
          <w:rFonts w:ascii="Times New Roman" w:hAnsi="Times New Roman" w:cs="Times New Roman"/>
          <w:sz w:val="28"/>
        </w:rPr>
        <w:t xml:space="preserve">и </w:t>
      </w:r>
      <w:r w:rsidR="00531452" w:rsidRPr="00A60765">
        <w:rPr>
          <w:rFonts w:ascii="Times New Roman" w:hAnsi="Times New Roman" w:cs="Times New Roman"/>
          <w:sz w:val="28"/>
        </w:rPr>
        <w:t xml:space="preserve">настоящем подпункте Соглашения </w:t>
      </w:r>
      <w:r w:rsidRPr="00A60765">
        <w:rPr>
          <w:rFonts w:ascii="Times New Roman" w:hAnsi="Times New Roman" w:cs="Times New Roman"/>
          <w:sz w:val="28"/>
        </w:rPr>
        <w:t>показателей надежности и качества оказываемых услуг по передаче электрической энергии осуществляется в соответствии с положениями Методических указаний по расчету уровня надежности и качества поставляемых товаров и оказываемых услуг для организации по управлению единой национальной (общероссийской) электрической сетью и территориальных сетевых организаций, утвержденных приказом Минэнерго России от 29.11.2016</w:t>
      </w:r>
      <w:proofErr w:type="gramEnd"/>
      <w:r w:rsidRPr="00A60765">
        <w:rPr>
          <w:rFonts w:ascii="Times New Roman" w:hAnsi="Times New Roman" w:cs="Times New Roman"/>
          <w:sz w:val="28"/>
        </w:rPr>
        <w:t xml:space="preserve"> № </w:t>
      </w:r>
      <w:proofErr w:type="gramStart"/>
      <w:r w:rsidRPr="00A60765">
        <w:rPr>
          <w:rFonts w:ascii="Times New Roman" w:hAnsi="Times New Roman" w:cs="Times New Roman"/>
          <w:sz w:val="28"/>
        </w:rPr>
        <w:t>1256</w:t>
      </w:r>
      <w:r w:rsidR="00BD471D" w:rsidRPr="00A60765">
        <w:rPr>
          <w:rFonts w:ascii="Times New Roman" w:hAnsi="Times New Roman" w:cs="Times New Roman"/>
          <w:sz w:val="28"/>
        </w:rPr>
        <w:t xml:space="preserve"> </w:t>
      </w:r>
      <w:r w:rsidR="00DC3D90" w:rsidRPr="00A60765">
        <w:rPr>
          <w:rFonts w:ascii="Times New Roman" w:hAnsi="Times New Roman" w:cs="Times New Roman"/>
          <w:sz w:val="28"/>
        </w:rPr>
        <w:t>(с по</w:t>
      </w:r>
      <w:r w:rsidR="00BD471D" w:rsidRPr="00A60765">
        <w:rPr>
          <w:rFonts w:ascii="Times New Roman" w:hAnsi="Times New Roman" w:cs="Times New Roman"/>
          <w:sz w:val="28"/>
        </w:rPr>
        <w:t>с</w:t>
      </w:r>
      <w:r w:rsidR="00DC3D90" w:rsidRPr="00A60765">
        <w:rPr>
          <w:rFonts w:ascii="Times New Roman" w:hAnsi="Times New Roman" w:cs="Times New Roman"/>
          <w:sz w:val="28"/>
        </w:rPr>
        <w:t>л</w:t>
      </w:r>
      <w:r w:rsidR="00BD471D" w:rsidRPr="00A60765">
        <w:rPr>
          <w:rFonts w:ascii="Times New Roman" w:hAnsi="Times New Roman" w:cs="Times New Roman"/>
          <w:sz w:val="28"/>
        </w:rPr>
        <w:t>е</w:t>
      </w:r>
      <w:r w:rsidR="00DC3D90" w:rsidRPr="00A60765">
        <w:rPr>
          <w:rFonts w:ascii="Times New Roman" w:hAnsi="Times New Roman" w:cs="Times New Roman"/>
          <w:sz w:val="28"/>
        </w:rPr>
        <w:t>дующими</w:t>
      </w:r>
      <w:proofErr w:type="gramEnd"/>
      <w:r w:rsidR="00DC3D90" w:rsidRPr="00A60765">
        <w:rPr>
          <w:rFonts w:ascii="Times New Roman" w:hAnsi="Times New Roman" w:cs="Times New Roman"/>
          <w:sz w:val="28"/>
        </w:rPr>
        <w:t xml:space="preserve"> изменениями)</w:t>
      </w:r>
      <w:r w:rsidRPr="00A60765">
        <w:rPr>
          <w:rFonts w:ascii="Times New Roman" w:hAnsi="Times New Roman" w:cs="Times New Roman"/>
          <w:sz w:val="28"/>
        </w:rPr>
        <w:t xml:space="preserve">, с учетом </w:t>
      </w:r>
      <w:proofErr w:type="gramStart"/>
      <w:r w:rsidRPr="00A60765">
        <w:rPr>
          <w:rFonts w:ascii="Times New Roman" w:hAnsi="Times New Roman" w:cs="Times New Roman"/>
          <w:sz w:val="28"/>
        </w:rPr>
        <w:t>показателя качества исполнения Единых стандартов качества обслуживания</w:t>
      </w:r>
      <w:proofErr w:type="gramEnd"/>
      <w:r w:rsidRPr="00A60765">
        <w:rPr>
          <w:rFonts w:ascii="Times New Roman" w:hAnsi="Times New Roman" w:cs="Times New Roman"/>
          <w:sz w:val="28"/>
        </w:rPr>
        <w:t xml:space="preserve"> сетевыми организациями потребителей услуг сетевых организаций, утвержденных приказом Минэн</w:t>
      </w:r>
      <w:r w:rsidR="003B6CCA" w:rsidRPr="00A60765">
        <w:rPr>
          <w:rFonts w:ascii="Times New Roman" w:hAnsi="Times New Roman" w:cs="Times New Roman"/>
          <w:sz w:val="28"/>
        </w:rPr>
        <w:t>ерго России от 15.04.2014 № 186</w:t>
      </w:r>
      <w:r w:rsidR="00BD471D" w:rsidRPr="00A60765">
        <w:rPr>
          <w:rFonts w:ascii="Times New Roman" w:hAnsi="Times New Roman" w:cs="Times New Roman"/>
          <w:sz w:val="28"/>
        </w:rPr>
        <w:t xml:space="preserve"> </w:t>
      </w:r>
      <w:r w:rsidR="00345D38" w:rsidRPr="00A60765">
        <w:rPr>
          <w:rFonts w:ascii="Times New Roman" w:hAnsi="Times New Roman" w:cs="Times New Roman"/>
          <w:sz w:val="28"/>
        </w:rPr>
        <w:t>(</w:t>
      </w:r>
      <w:r w:rsidR="00BD471D" w:rsidRPr="00A60765">
        <w:rPr>
          <w:rFonts w:ascii="Times New Roman" w:hAnsi="Times New Roman" w:cs="Times New Roman"/>
          <w:sz w:val="28"/>
        </w:rPr>
        <w:t>с после</w:t>
      </w:r>
      <w:r w:rsidR="00DC3D90" w:rsidRPr="00A60765">
        <w:rPr>
          <w:rFonts w:ascii="Times New Roman" w:hAnsi="Times New Roman" w:cs="Times New Roman"/>
          <w:sz w:val="28"/>
        </w:rPr>
        <w:t>дующими изменениями)</w:t>
      </w:r>
      <w:r w:rsidR="003B6CCA" w:rsidRPr="00A60765">
        <w:rPr>
          <w:rFonts w:ascii="Times New Roman" w:hAnsi="Times New Roman" w:cs="Times New Roman"/>
          <w:sz w:val="28"/>
        </w:rPr>
        <w:t>;</w:t>
      </w:r>
    </w:p>
    <w:p w:rsidR="002F5F85" w:rsidRPr="00A60765" w:rsidRDefault="00B05909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A60765">
        <w:rPr>
          <w:rFonts w:ascii="Times New Roman" w:hAnsi="Times New Roman" w:cs="Times New Roman"/>
          <w:sz w:val="28"/>
        </w:rPr>
        <w:t>в) достижение уровня потерь электрической энергии при ее передаче по электрическим сетям</w:t>
      </w:r>
      <w:r w:rsidR="00B80626" w:rsidRPr="00A60765">
        <w:rPr>
          <w:rFonts w:ascii="Times New Roman" w:hAnsi="Times New Roman" w:cs="Times New Roman"/>
          <w:sz w:val="28"/>
        </w:rPr>
        <w:t>:</w:t>
      </w:r>
      <w:r w:rsidRPr="00A60765">
        <w:rPr>
          <w:rFonts w:ascii="Times New Roman" w:hAnsi="Times New Roman" w:cs="Times New Roman"/>
          <w:sz w:val="28"/>
        </w:rPr>
        <w:t xml:space="preserve"> </w:t>
      </w:r>
    </w:p>
    <w:p w:rsidR="002F5F85" w:rsidRPr="00A60765" w:rsidRDefault="00B05909">
      <w:pPr>
        <w:pStyle w:val="ConsPlusNonformat"/>
        <w:ind w:firstLine="709"/>
        <w:jc w:val="right"/>
        <w:rPr>
          <w:rFonts w:ascii="Times New Roman" w:hAnsi="Times New Roman" w:cs="Times New Roman"/>
          <w:sz w:val="28"/>
        </w:rPr>
      </w:pPr>
      <w:r w:rsidRPr="00A60765">
        <w:rPr>
          <w:rFonts w:ascii="Times New Roman" w:hAnsi="Times New Roman" w:cs="Times New Roman"/>
          <w:sz w:val="24"/>
        </w:rPr>
        <w:t>Таблица 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104"/>
        <w:gridCol w:w="1108"/>
        <w:gridCol w:w="1114"/>
        <w:gridCol w:w="1114"/>
        <w:gridCol w:w="1114"/>
        <w:gridCol w:w="1114"/>
        <w:gridCol w:w="1114"/>
      </w:tblGrid>
      <w:tr w:rsidR="003033BA" w:rsidRPr="00A60765">
        <w:tc>
          <w:tcPr>
            <w:tcW w:w="704" w:type="dxa"/>
            <w:vAlign w:val="center"/>
          </w:tcPr>
          <w:p w:rsidR="002F5F85" w:rsidRPr="00A60765" w:rsidRDefault="00B0590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04" w:type="dxa"/>
            <w:vAlign w:val="center"/>
          </w:tcPr>
          <w:p w:rsidR="002F5F85" w:rsidRPr="00A60765" w:rsidRDefault="00B0590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08" w:type="dxa"/>
            <w:vAlign w:val="center"/>
          </w:tcPr>
          <w:p w:rsidR="002F5F85" w:rsidRPr="00A60765" w:rsidRDefault="00B0590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114" w:type="dxa"/>
            <w:vAlign w:val="center"/>
          </w:tcPr>
          <w:p w:rsidR="002F5F85" w:rsidRPr="00A60765" w:rsidRDefault="00B0590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114" w:type="dxa"/>
            <w:vAlign w:val="center"/>
          </w:tcPr>
          <w:p w:rsidR="002F5F85" w:rsidRPr="00A60765" w:rsidRDefault="00B0590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114" w:type="dxa"/>
            <w:vAlign w:val="center"/>
          </w:tcPr>
          <w:p w:rsidR="002F5F85" w:rsidRPr="00A60765" w:rsidRDefault="00B0590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114" w:type="dxa"/>
            <w:vAlign w:val="center"/>
          </w:tcPr>
          <w:p w:rsidR="002F5F85" w:rsidRPr="00A60765" w:rsidRDefault="00B0590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114" w:type="dxa"/>
            <w:vAlign w:val="center"/>
          </w:tcPr>
          <w:p w:rsidR="002F5F85" w:rsidRPr="00A60765" w:rsidRDefault="00B0590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2029 год</w:t>
            </w:r>
          </w:p>
        </w:tc>
      </w:tr>
      <w:tr w:rsidR="003033BA" w:rsidRPr="00A60765" w:rsidTr="0058503A">
        <w:tc>
          <w:tcPr>
            <w:tcW w:w="704" w:type="dxa"/>
            <w:vAlign w:val="center"/>
          </w:tcPr>
          <w:p w:rsidR="002F5F85" w:rsidRPr="00A60765" w:rsidRDefault="00B0590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04" w:type="dxa"/>
            <w:vAlign w:val="center"/>
          </w:tcPr>
          <w:p w:rsidR="002F5F85" w:rsidRPr="00A60765" w:rsidRDefault="00B05909">
            <w:pPr>
              <w:pStyle w:val="ConsPlusNonformat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 xml:space="preserve">Уровень потерь электрической энергии при ее </w:t>
            </w:r>
            <w:r w:rsidRPr="00A60765">
              <w:rPr>
                <w:rFonts w:ascii="Times New Roman" w:hAnsi="Times New Roman" w:cs="Times New Roman"/>
              </w:rPr>
              <w:lastRenderedPageBreak/>
              <w:t>передаче по электрическим сетям (к отпуску (поступлению) электрической энергии в сеть)</w:t>
            </w:r>
          </w:p>
        </w:tc>
        <w:tc>
          <w:tcPr>
            <w:tcW w:w="1108" w:type="dxa"/>
            <w:vAlign w:val="center"/>
          </w:tcPr>
          <w:p w:rsidR="002F5F85" w:rsidRPr="00A60765" w:rsidRDefault="00B0590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114" w:type="dxa"/>
            <w:shd w:val="clear" w:color="000000" w:fill="FFFFFF"/>
            <w:vAlign w:val="center"/>
          </w:tcPr>
          <w:p w:rsidR="00920544" w:rsidRPr="00A60765" w:rsidRDefault="00920544" w:rsidP="00090C1F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60765">
              <w:rPr>
                <w:rFonts w:ascii="Times New Roman" w:hAnsi="Times New Roman" w:cs="Times New Roman"/>
              </w:rPr>
              <w:t>7,3</w:t>
            </w:r>
            <w:r w:rsidRPr="00A60765">
              <w:rPr>
                <w:rFonts w:ascii="Times New Roman" w:hAnsi="Times New Roman" w:cs="Times New Roman"/>
                <w:lang w:val="en-US"/>
              </w:rPr>
              <w:t>568</w:t>
            </w:r>
          </w:p>
        </w:tc>
        <w:tc>
          <w:tcPr>
            <w:tcW w:w="1114" w:type="dxa"/>
            <w:shd w:val="clear" w:color="000000" w:fill="FFFFFF"/>
            <w:vAlign w:val="center"/>
          </w:tcPr>
          <w:p w:rsidR="00920544" w:rsidRPr="00A60765" w:rsidRDefault="0092054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7,3</w:t>
            </w:r>
            <w:r w:rsidRPr="00A60765">
              <w:rPr>
                <w:rFonts w:ascii="Times New Roman" w:hAnsi="Times New Roman" w:cs="Times New Roman"/>
                <w:lang w:val="en-US"/>
              </w:rPr>
              <w:t>568</w:t>
            </w:r>
          </w:p>
        </w:tc>
        <w:tc>
          <w:tcPr>
            <w:tcW w:w="1114" w:type="dxa"/>
            <w:shd w:val="clear" w:color="000000" w:fill="FFFFFF"/>
            <w:vAlign w:val="center"/>
          </w:tcPr>
          <w:p w:rsidR="00920544" w:rsidRPr="00A60765" w:rsidRDefault="0092054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7,3</w:t>
            </w:r>
            <w:r w:rsidRPr="00A60765">
              <w:rPr>
                <w:rFonts w:ascii="Times New Roman" w:hAnsi="Times New Roman" w:cs="Times New Roman"/>
                <w:lang w:val="en-US"/>
              </w:rPr>
              <w:t>568</w:t>
            </w:r>
          </w:p>
        </w:tc>
        <w:tc>
          <w:tcPr>
            <w:tcW w:w="1114" w:type="dxa"/>
            <w:shd w:val="clear" w:color="000000" w:fill="FFFFFF"/>
            <w:vAlign w:val="center"/>
          </w:tcPr>
          <w:p w:rsidR="00920544" w:rsidRPr="00A60765" w:rsidRDefault="004B2C0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765">
              <w:rPr>
                <w:rFonts w:ascii="Times New Roman" w:hAnsi="Times New Roman" w:cs="Times New Roman"/>
                <w:color w:val="000000"/>
              </w:rPr>
              <w:t>7,27</w:t>
            </w:r>
          </w:p>
        </w:tc>
        <w:tc>
          <w:tcPr>
            <w:tcW w:w="1114" w:type="dxa"/>
            <w:shd w:val="clear" w:color="000000" w:fill="FFFFFF"/>
            <w:vAlign w:val="center"/>
          </w:tcPr>
          <w:p w:rsidR="00920544" w:rsidRPr="00A60765" w:rsidRDefault="004B2C0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765">
              <w:rPr>
                <w:rFonts w:ascii="Times New Roman" w:hAnsi="Times New Roman" w:cs="Times New Roman"/>
                <w:color w:val="000000"/>
              </w:rPr>
              <w:t>7,27</w:t>
            </w:r>
          </w:p>
        </w:tc>
      </w:tr>
    </w:tbl>
    <w:p w:rsidR="002F5F85" w:rsidRPr="00A60765" w:rsidRDefault="00B05909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A60765">
        <w:rPr>
          <w:rFonts w:ascii="Times New Roman" w:hAnsi="Times New Roman" w:cs="Times New Roman"/>
          <w:sz w:val="28"/>
        </w:rPr>
        <w:lastRenderedPageBreak/>
        <w:t>Оценка достижения указанного уровня потерь электрической энергии производится по формуле:</w:t>
      </w:r>
    </w:p>
    <w:p w:rsidR="002F5F85" w:rsidRPr="00A60765" w:rsidRDefault="00A60765">
      <w:pPr>
        <w:pStyle w:val="ConsPlusNonformat"/>
        <w:jc w:val="center"/>
        <w:rPr>
          <w:rFonts w:ascii="Times New Roman" w:hAnsi="Times New Roman" w:cs="Times New Roman"/>
          <w:i/>
          <w:sz w:val="28"/>
        </w:rPr>
      </w:pPr>
      <m:oMath>
        <m:sSub>
          <m:sSubPr>
            <m:ctrlPr>
              <w:rPr>
                <w:rFonts w:ascii="Cambria Math" w:hAnsi="Cambria Math" w:cs="Cambria Math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Cambria Math"/>
                <w:sz w:val="28"/>
                <w:lang w:val="en-US"/>
              </w:rPr>
              <m:t>N</m:t>
            </m:r>
          </m:e>
          <m:sub>
            <m:r>
              <w:rPr>
                <w:rFonts w:ascii="Cambria Math" w:hAnsi="Cambria Math" w:cs="Cambria Math"/>
                <w:sz w:val="28"/>
                <w:lang w:val="en-US"/>
              </w:rPr>
              <m:t>i</m:t>
            </m:r>
          </m:sub>
        </m:sSub>
        <m:r>
          <w:rPr>
            <w:rFonts w:ascii="Cambria Math" w:hAnsi="Cambria Math" w:cs="Cambria Math"/>
            <w:sz w:val="28"/>
          </w:rPr>
          <m:t>≥</m:t>
        </m:r>
        <m:f>
          <m:fPr>
            <m:ctrlPr>
              <w:rPr>
                <w:rFonts w:ascii="Cambria Math" w:hAnsi="Cambria Math" w:cs="Cambria Math"/>
                <w:sz w:val="28"/>
              </w:rPr>
            </m:ctrlPr>
          </m:fPr>
          <m:num>
            <m:r>
              <w:rPr>
                <w:rFonts w:ascii="Cambria Math" w:hAnsi="Cambria Math" w:cs="Cambria Math"/>
                <w:sz w:val="28"/>
              </w:rPr>
              <m:t>∆</m:t>
            </m:r>
            <m:sSubSup>
              <m:sSubSupPr>
                <m:ctrlPr>
                  <w:rPr>
                    <w:rFonts w:ascii="Cambria Math" w:hAnsi="Cambria Math" w:cs="Cambria Math"/>
                    <w:i/>
                    <w:sz w:val="28"/>
                  </w:rPr>
                </m:ctrlPr>
              </m:sSubSupPr>
              <m:e>
                <m:r>
                  <w:rPr>
                    <w:rFonts w:ascii="Cambria Math" w:hAnsi="Cambria Math" w:cs="Cambria Math"/>
                    <w:sz w:val="28"/>
                    <w:lang w:val="en-US"/>
                  </w:rPr>
                  <m:t>W</m:t>
                </m:r>
              </m:e>
              <m:sub>
                <m:r>
                  <w:rPr>
                    <w:rFonts w:ascii="Cambria Math" w:hAnsi="Cambria Math" w:cs="Cambria Math"/>
                    <w:sz w:val="28"/>
                  </w:rPr>
                  <m:t>i</m:t>
                </m:r>
              </m:sub>
              <m:sup>
                <m:r>
                  <w:rPr>
                    <w:rFonts w:ascii="Cambria Math" w:hAnsi="Cambria Math" w:cs="Cambria Math"/>
                    <w:sz w:val="28"/>
                  </w:rPr>
                  <m:t>факт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Cambria Math"/>
                    <w:i/>
                    <w:sz w:val="28"/>
                  </w:rPr>
                </m:ctrlPr>
              </m:sSubSupPr>
              <m:e>
                <m:r>
                  <w:rPr>
                    <w:rFonts w:ascii="Cambria Math" w:hAnsi="Cambria Math" w:cs="Cambria Math"/>
                    <w:sz w:val="28"/>
                  </w:rPr>
                  <m:t>W</m:t>
                </m:r>
              </m:e>
              <m:sub>
                <m:r>
                  <w:rPr>
                    <w:rFonts w:ascii="Cambria Math" w:hAnsi="Cambria Math" w:cs="Cambria Math"/>
                    <w:sz w:val="28"/>
                  </w:rPr>
                  <m:t>i</m:t>
                </m:r>
              </m:sub>
              <m:sup>
                <m:r>
                  <w:rPr>
                    <w:rFonts w:ascii="Cambria Math" w:hAnsi="Cambria Math" w:cs="Cambria Math"/>
                    <w:sz w:val="28"/>
                  </w:rPr>
                  <m:t>ОС факт</m:t>
                </m:r>
              </m:sup>
            </m:sSubSup>
          </m:den>
        </m:f>
        <m:r>
          <w:rPr>
            <w:rFonts w:ascii="Cambria Math" w:hAnsi="Cambria Math" w:cs="Cambria Math"/>
            <w:sz w:val="28"/>
          </w:rPr>
          <m:t>×100</m:t>
        </m:r>
      </m:oMath>
      <w:r w:rsidR="00507CF4" w:rsidRPr="00A60765">
        <w:rPr>
          <w:rFonts w:ascii="Times New Roman" w:hAnsi="Times New Roman" w:cs="Times New Roman"/>
          <w:i/>
          <w:sz w:val="28"/>
        </w:rPr>
        <w:t>,</w:t>
      </w:r>
    </w:p>
    <w:p w:rsidR="002F5F85" w:rsidRPr="00A60765" w:rsidRDefault="00B05909">
      <w:pPr>
        <w:pStyle w:val="ConsPlusNonformat"/>
        <w:rPr>
          <w:rFonts w:ascii="Times New Roman" w:hAnsi="Times New Roman" w:cs="Times New Roman"/>
          <w:sz w:val="28"/>
        </w:rPr>
      </w:pPr>
      <w:r w:rsidRPr="00A60765">
        <w:rPr>
          <w:rFonts w:ascii="Times New Roman" w:hAnsi="Times New Roman" w:cs="Times New Roman"/>
          <w:sz w:val="28"/>
        </w:rPr>
        <w:t>где:</w:t>
      </w:r>
    </w:p>
    <w:p w:rsidR="002F5F85" w:rsidRPr="00A60765" w:rsidRDefault="00A60765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Cambria Math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Cambria Math"/>
                <w:sz w:val="28"/>
                <w:lang w:val="en-US"/>
              </w:rPr>
              <m:t>N</m:t>
            </m:r>
          </m:e>
          <m:sub>
            <m:r>
              <w:rPr>
                <w:rFonts w:ascii="Cambria Math" w:hAnsi="Cambria Math" w:cs="Cambria Math"/>
                <w:sz w:val="28"/>
                <w:lang w:val="en-US"/>
              </w:rPr>
              <m:t>i</m:t>
            </m:r>
          </m:sub>
        </m:sSub>
      </m:oMath>
      <w:r w:rsidR="00507CF4" w:rsidRPr="00A60765">
        <w:rPr>
          <w:rFonts w:ascii="Times New Roman" w:hAnsi="Times New Roman" w:cs="Times New Roman"/>
          <w:sz w:val="28"/>
        </w:rPr>
        <w:t xml:space="preserve"> - уровень потерь электрической энергии в процентах при ее передаче по электрическим сетям (к отпуску (поступлению) электрической энергии в сеть), ук</w:t>
      </w:r>
      <w:r w:rsidR="00CE6856" w:rsidRPr="00A60765">
        <w:rPr>
          <w:rFonts w:ascii="Times New Roman" w:hAnsi="Times New Roman" w:cs="Times New Roman"/>
          <w:sz w:val="28"/>
        </w:rPr>
        <w:t>азанный в таблице 3 настоящего С</w:t>
      </w:r>
      <w:r w:rsidR="00507CF4" w:rsidRPr="00A60765">
        <w:rPr>
          <w:rFonts w:ascii="Times New Roman" w:hAnsi="Times New Roman" w:cs="Times New Roman"/>
          <w:sz w:val="28"/>
        </w:rPr>
        <w:t xml:space="preserve">оглашения на год </w:t>
      </w:r>
      <w:proofErr w:type="spellStart"/>
      <w:r w:rsidR="00507CF4" w:rsidRPr="00A60765">
        <w:rPr>
          <w:rFonts w:ascii="Times New Roman" w:hAnsi="Times New Roman" w:cs="Times New Roman"/>
          <w:i/>
          <w:sz w:val="28"/>
          <w:lang w:val="en-US"/>
        </w:rPr>
        <w:t>i</w:t>
      </w:r>
      <w:proofErr w:type="spellEnd"/>
      <w:r w:rsidR="00507CF4" w:rsidRPr="00A60765">
        <w:rPr>
          <w:rFonts w:ascii="Times New Roman" w:hAnsi="Times New Roman" w:cs="Times New Roman"/>
          <w:sz w:val="28"/>
        </w:rPr>
        <w:t>;</w:t>
      </w:r>
    </w:p>
    <w:p w:rsidR="002F5F85" w:rsidRPr="00A60765" w:rsidRDefault="00B05909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m:oMath>
        <m:r>
          <w:rPr>
            <w:rFonts w:ascii="Cambria Math" w:hAnsi="Cambria Math" w:cs="Cambria Math"/>
            <w:sz w:val="28"/>
          </w:rPr>
          <m:t>∆</m:t>
        </m:r>
        <m:sSubSup>
          <m:sSubSupPr>
            <m:ctrlPr>
              <w:rPr>
                <w:rFonts w:ascii="Cambria Math" w:hAnsi="Cambria Math" w:cs="Cambria Math"/>
                <w:i/>
                <w:sz w:val="28"/>
              </w:rPr>
            </m:ctrlPr>
          </m:sSubSupPr>
          <m:e>
            <m:r>
              <w:rPr>
                <w:rFonts w:ascii="Cambria Math" w:hAnsi="Cambria Math" w:cs="Cambria Math"/>
                <w:sz w:val="28"/>
                <w:lang w:val="en-US"/>
              </w:rPr>
              <m:t>W</m:t>
            </m:r>
          </m:e>
          <m:sub>
            <m:r>
              <w:rPr>
                <w:rFonts w:ascii="Cambria Math" w:hAnsi="Cambria Math" w:cs="Cambria Math"/>
                <w:sz w:val="28"/>
              </w:rPr>
              <m:t>i</m:t>
            </m:r>
          </m:sub>
          <m:sup>
            <m:r>
              <w:rPr>
                <w:rFonts w:ascii="Cambria Math" w:hAnsi="Cambria Math" w:cs="Cambria Math"/>
                <w:sz w:val="28"/>
              </w:rPr>
              <m:t>факт</m:t>
            </m:r>
          </m:sup>
        </m:sSubSup>
      </m:oMath>
      <w:r w:rsidRPr="00A60765">
        <w:rPr>
          <w:rFonts w:ascii="Times New Roman" w:hAnsi="Times New Roman" w:cs="Times New Roman"/>
          <w:sz w:val="28"/>
        </w:rPr>
        <w:t xml:space="preserve"> - величина фактических потерь электрической энергии при ее передаче по электрическим сетям </w:t>
      </w:r>
      <w:r w:rsidR="00CE6856" w:rsidRPr="00A60765">
        <w:rPr>
          <w:rFonts w:ascii="Times New Roman" w:hAnsi="Times New Roman" w:cs="Times New Roman"/>
          <w:sz w:val="28"/>
        </w:rPr>
        <w:t>О</w:t>
      </w:r>
      <w:r w:rsidRPr="00A60765">
        <w:rPr>
          <w:rFonts w:ascii="Times New Roman" w:hAnsi="Times New Roman" w:cs="Times New Roman"/>
          <w:sz w:val="28"/>
        </w:rPr>
        <w:t xml:space="preserve">рганизации за год </w:t>
      </w:r>
      <w:proofErr w:type="spellStart"/>
      <w:r w:rsidRPr="00A60765">
        <w:rPr>
          <w:rFonts w:ascii="Times New Roman" w:hAnsi="Times New Roman" w:cs="Times New Roman"/>
          <w:i/>
          <w:sz w:val="28"/>
          <w:lang w:val="en-US"/>
        </w:rPr>
        <w:t>i</w:t>
      </w:r>
      <w:proofErr w:type="spellEnd"/>
      <w:r w:rsidRPr="00A60765">
        <w:rPr>
          <w:rFonts w:ascii="Times New Roman" w:hAnsi="Times New Roman" w:cs="Times New Roman"/>
          <w:sz w:val="28"/>
        </w:rPr>
        <w:t xml:space="preserve"> (тыс. </w:t>
      </w:r>
      <w:proofErr w:type="spellStart"/>
      <w:r w:rsidRPr="00A60765">
        <w:rPr>
          <w:rFonts w:ascii="Times New Roman" w:hAnsi="Times New Roman" w:cs="Times New Roman"/>
          <w:sz w:val="28"/>
        </w:rPr>
        <w:t>кВт·ч</w:t>
      </w:r>
      <w:proofErr w:type="spellEnd"/>
      <w:r w:rsidRPr="00A60765">
        <w:rPr>
          <w:rFonts w:ascii="Times New Roman" w:hAnsi="Times New Roman" w:cs="Times New Roman"/>
          <w:sz w:val="28"/>
        </w:rPr>
        <w:t>);</w:t>
      </w:r>
    </w:p>
    <w:p w:rsidR="002F5F85" w:rsidRPr="00A60765" w:rsidRDefault="00A60765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m:oMath>
        <m:sSubSup>
          <m:sSubSupPr>
            <m:ctrlPr>
              <w:rPr>
                <w:rFonts w:ascii="Cambria Math" w:hAnsi="Cambria Math" w:cs="Cambria Math"/>
                <w:i/>
                <w:sz w:val="28"/>
              </w:rPr>
            </m:ctrlPr>
          </m:sSubSupPr>
          <m:e>
            <m:r>
              <w:rPr>
                <w:rFonts w:ascii="Cambria Math" w:hAnsi="Cambria Math" w:cs="Cambria Math"/>
                <w:sz w:val="28"/>
              </w:rPr>
              <m:t>W</m:t>
            </m:r>
          </m:e>
          <m:sub>
            <m:r>
              <w:rPr>
                <w:rFonts w:ascii="Cambria Math" w:hAnsi="Cambria Math" w:cs="Cambria Math"/>
                <w:sz w:val="28"/>
              </w:rPr>
              <m:t>i</m:t>
            </m:r>
          </m:sub>
          <m:sup>
            <m:r>
              <w:rPr>
                <w:rFonts w:ascii="Cambria Math" w:hAnsi="Cambria Math" w:cs="Cambria Math"/>
                <w:sz w:val="28"/>
              </w:rPr>
              <m:t>ОС факт</m:t>
            </m:r>
          </m:sup>
        </m:sSubSup>
      </m:oMath>
      <w:r w:rsidR="00507CF4" w:rsidRPr="00A60765">
        <w:rPr>
          <w:rFonts w:ascii="Times New Roman" w:hAnsi="Times New Roman" w:cs="Times New Roman"/>
          <w:sz w:val="28"/>
        </w:rPr>
        <w:t xml:space="preserve">  - величина фактического отпуска электрической энергии в сеть </w:t>
      </w:r>
      <w:r w:rsidR="00CE6856" w:rsidRPr="00A60765">
        <w:rPr>
          <w:rFonts w:ascii="Times New Roman" w:hAnsi="Times New Roman" w:cs="Times New Roman"/>
          <w:sz w:val="28"/>
        </w:rPr>
        <w:t>О</w:t>
      </w:r>
      <w:r w:rsidR="00507CF4" w:rsidRPr="00A60765">
        <w:rPr>
          <w:rFonts w:ascii="Times New Roman" w:hAnsi="Times New Roman" w:cs="Times New Roman"/>
          <w:sz w:val="28"/>
        </w:rPr>
        <w:t xml:space="preserve">рганизации за год </w:t>
      </w:r>
      <w:proofErr w:type="spellStart"/>
      <w:r w:rsidR="00507CF4" w:rsidRPr="00A60765">
        <w:rPr>
          <w:rFonts w:ascii="Times New Roman" w:hAnsi="Times New Roman" w:cs="Times New Roman"/>
          <w:i/>
          <w:sz w:val="28"/>
          <w:lang w:val="en-US"/>
        </w:rPr>
        <w:t>i</w:t>
      </w:r>
      <w:proofErr w:type="spellEnd"/>
      <w:r w:rsidR="00507CF4" w:rsidRPr="00A60765">
        <w:rPr>
          <w:rFonts w:ascii="Times New Roman" w:hAnsi="Times New Roman" w:cs="Times New Roman"/>
          <w:sz w:val="28"/>
        </w:rPr>
        <w:t xml:space="preserve"> (тыс. </w:t>
      </w:r>
      <w:proofErr w:type="spellStart"/>
      <w:r w:rsidR="00507CF4" w:rsidRPr="00A60765">
        <w:rPr>
          <w:rFonts w:ascii="Times New Roman" w:hAnsi="Times New Roman" w:cs="Times New Roman"/>
          <w:sz w:val="28"/>
        </w:rPr>
        <w:t>кВт·ч</w:t>
      </w:r>
      <w:proofErr w:type="spellEnd"/>
      <w:r w:rsidR="00507CF4" w:rsidRPr="00A60765">
        <w:rPr>
          <w:rFonts w:ascii="Times New Roman" w:hAnsi="Times New Roman" w:cs="Times New Roman"/>
          <w:sz w:val="28"/>
        </w:rPr>
        <w:t>).</w:t>
      </w:r>
    </w:p>
    <w:p w:rsidR="002F5F85" w:rsidRPr="00A60765" w:rsidRDefault="00B05909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A60765">
        <w:rPr>
          <w:rFonts w:ascii="Times New Roman" w:hAnsi="Times New Roman" w:cs="Times New Roman"/>
          <w:sz w:val="28"/>
        </w:rPr>
        <w:t>При соблюдении указанного неравенства п</w:t>
      </w:r>
      <w:r w:rsidR="003B6CCA" w:rsidRPr="00A60765">
        <w:rPr>
          <w:rFonts w:ascii="Times New Roman" w:hAnsi="Times New Roman" w:cs="Times New Roman"/>
          <w:sz w:val="28"/>
        </w:rPr>
        <w:t>оказатель считается достигнутым;</w:t>
      </w:r>
    </w:p>
    <w:p w:rsidR="002F5F85" w:rsidRPr="00A60765" w:rsidRDefault="00B05909" w:rsidP="00A65B6B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A60765">
        <w:rPr>
          <w:rFonts w:ascii="Times New Roman" w:hAnsi="Times New Roman" w:cs="Times New Roman"/>
          <w:sz w:val="28"/>
        </w:rPr>
        <w:t xml:space="preserve">г) реализация инвестиционной программы </w:t>
      </w:r>
      <w:r w:rsidRPr="00A60765">
        <w:rPr>
          <w:rFonts w:ascii="Times New Roman" w:hAnsi="Times New Roman" w:cs="Times New Roman"/>
          <w:sz w:val="28"/>
          <w:szCs w:val="28"/>
        </w:rPr>
        <w:t>О</w:t>
      </w:r>
      <w:r w:rsidRPr="00A60765">
        <w:rPr>
          <w:rFonts w:ascii="Times New Roman" w:hAnsi="Times New Roman" w:cs="Times New Roman"/>
          <w:sz w:val="28"/>
        </w:rPr>
        <w:t xml:space="preserve">рганизации в соответствии с решениями об утверждении инвестиционной программы </w:t>
      </w:r>
      <w:r w:rsidRPr="00A60765">
        <w:rPr>
          <w:rFonts w:ascii="Times New Roman" w:hAnsi="Times New Roman" w:cs="Times New Roman"/>
          <w:sz w:val="28"/>
          <w:szCs w:val="28"/>
        </w:rPr>
        <w:t>О</w:t>
      </w:r>
      <w:r w:rsidRPr="00A60765">
        <w:rPr>
          <w:rFonts w:ascii="Times New Roman" w:hAnsi="Times New Roman" w:cs="Times New Roman"/>
          <w:sz w:val="28"/>
        </w:rPr>
        <w:t xml:space="preserve">рганизации и (или) изменений, которые вносятся в инвестиционную программу </w:t>
      </w:r>
      <w:r w:rsidRPr="00A60765">
        <w:rPr>
          <w:rFonts w:ascii="Times New Roman" w:hAnsi="Times New Roman" w:cs="Times New Roman"/>
          <w:sz w:val="28"/>
          <w:szCs w:val="28"/>
        </w:rPr>
        <w:t>О</w:t>
      </w:r>
      <w:r w:rsidRPr="00A60765">
        <w:rPr>
          <w:rFonts w:ascii="Times New Roman" w:hAnsi="Times New Roman" w:cs="Times New Roman"/>
          <w:sz w:val="28"/>
        </w:rPr>
        <w:t>рганизации, принятыми в порядке, установленном законодательством Российской Федерации об электроэнергетике</w:t>
      </w:r>
      <w:r w:rsidR="00D90A1F" w:rsidRPr="00A60765">
        <w:rPr>
          <w:rFonts w:ascii="Times New Roman" w:hAnsi="Times New Roman" w:cs="Times New Roman"/>
          <w:sz w:val="28"/>
        </w:rPr>
        <w:t xml:space="preserve"> </w:t>
      </w:r>
      <w:r w:rsidR="00D90A1F" w:rsidRPr="00A60765">
        <w:rPr>
          <w:rFonts w:ascii="Times New Roman" w:eastAsia="Times New Roman" w:hAnsi="Times New Roman" w:cs="Times New Roman"/>
          <w:sz w:val="28"/>
        </w:rPr>
        <w:t>(</w:t>
      </w:r>
      <w:r w:rsidR="00D90A1F" w:rsidRPr="00A60765">
        <w:rPr>
          <w:rFonts w:ascii="Times New Roman" w:hAnsi="Times New Roman" w:cs="Times New Roman"/>
          <w:sz w:val="28"/>
        </w:rPr>
        <w:t xml:space="preserve">с учетом их включения </w:t>
      </w:r>
      <w:r w:rsidR="0058085A" w:rsidRPr="00A60765">
        <w:rPr>
          <w:rFonts w:ascii="Times New Roman" w:hAnsi="Times New Roman" w:cs="Times New Roman"/>
          <w:sz w:val="28"/>
        </w:rPr>
        <w:t xml:space="preserve">при необходимости </w:t>
      </w:r>
      <w:r w:rsidR="00D90A1F" w:rsidRPr="00A60765">
        <w:rPr>
          <w:rFonts w:ascii="Times New Roman" w:hAnsi="Times New Roman" w:cs="Times New Roman"/>
          <w:sz w:val="28"/>
        </w:rPr>
        <w:t xml:space="preserve">в схему и программу </w:t>
      </w:r>
      <w:r w:rsidR="00A65B6B" w:rsidRPr="00A60765">
        <w:rPr>
          <w:rFonts w:ascii="Times New Roman" w:hAnsi="Times New Roman" w:cs="Times New Roman"/>
          <w:sz w:val="28"/>
        </w:rPr>
        <w:t xml:space="preserve">развития электроэнергетических систем </w:t>
      </w:r>
      <w:r w:rsidR="007D5136" w:rsidRPr="00A60765">
        <w:rPr>
          <w:rFonts w:ascii="Times New Roman" w:hAnsi="Times New Roman" w:cs="Times New Roman"/>
          <w:sz w:val="28"/>
        </w:rPr>
        <w:t>России</w:t>
      </w:r>
      <w:r w:rsidR="00D90A1F" w:rsidRPr="00A60765">
        <w:rPr>
          <w:rFonts w:ascii="Times New Roman" w:hAnsi="Times New Roman" w:cs="Times New Roman"/>
          <w:sz w:val="28"/>
        </w:rPr>
        <w:t xml:space="preserve"> на соответствующий год</w:t>
      </w:r>
      <w:r w:rsidR="00D90A1F" w:rsidRPr="00A60765">
        <w:rPr>
          <w:rFonts w:ascii="Times New Roman" w:eastAsia="Times New Roman" w:hAnsi="Times New Roman" w:cs="Times New Roman"/>
          <w:sz w:val="28"/>
        </w:rPr>
        <w:t>)</w:t>
      </w:r>
      <w:r w:rsidRPr="00A60765">
        <w:rPr>
          <w:rFonts w:ascii="Times New Roman" w:hAnsi="Times New Roman" w:cs="Times New Roman"/>
          <w:sz w:val="28"/>
        </w:rPr>
        <w:t>, в том числе за счет следующих средств и с учетом следующих</w:t>
      </w:r>
      <w:proofErr w:type="gramEnd"/>
      <w:r w:rsidRPr="00A60765">
        <w:rPr>
          <w:rFonts w:ascii="Times New Roman" w:hAnsi="Times New Roman" w:cs="Times New Roman"/>
          <w:sz w:val="28"/>
        </w:rPr>
        <w:t xml:space="preserve"> параметров, учитываемых при установлении цен (тарифов) на услуги по передаче электрической энергии:</w:t>
      </w:r>
    </w:p>
    <w:p w:rsidR="002F5F85" w:rsidRPr="00A60765" w:rsidRDefault="00B05909">
      <w:pPr>
        <w:pStyle w:val="ConsPlusNonformat"/>
        <w:ind w:firstLine="709"/>
        <w:jc w:val="right"/>
        <w:rPr>
          <w:rFonts w:ascii="Times New Roman" w:hAnsi="Times New Roman"/>
          <w:sz w:val="24"/>
        </w:rPr>
      </w:pPr>
      <w:r w:rsidRPr="00A60765">
        <w:rPr>
          <w:rFonts w:ascii="Times New Roman" w:hAnsi="Times New Roman" w:cs="Times New Roman"/>
          <w:sz w:val="24"/>
        </w:rPr>
        <w:t>Таблица 4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7"/>
        <w:gridCol w:w="1930"/>
        <w:gridCol w:w="1012"/>
        <w:gridCol w:w="1134"/>
        <w:gridCol w:w="1210"/>
        <w:gridCol w:w="1174"/>
        <w:gridCol w:w="1222"/>
        <w:gridCol w:w="1207"/>
      </w:tblGrid>
      <w:tr w:rsidR="009E2607" w:rsidRPr="00A60765" w:rsidTr="0058503A">
        <w:trPr>
          <w:tblHeader/>
        </w:trPr>
        <w:tc>
          <w:tcPr>
            <w:tcW w:w="617" w:type="dxa"/>
            <w:vAlign w:val="center"/>
          </w:tcPr>
          <w:p w:rsidR="002F5F85" w:rsidRPr="00A60765" w:rsidRDefault="00B05909" w:rsidP="0058503A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60765">
              <w:rPr>
                <w:rFonts w:ascii="Times New Roman" w:hAnsi="Times New Roman"/>
              </w:rPr>
              <w:t>№ п/п</w:t>
            </w:r>
          </w:p>
        </w:tc>
        <w:tc>
          <w:tcPr>
            <w:tcW w:w="1930" w:type="dxa"/>
            <w:vAlign w:val="center"/>
          </w:tcPr>
          <w:p w:rsidR="002F5F85" w:rsidRPr="00A60765" w:rsidRDefault="00B05909" w:rsidP="0058503A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60765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012" w:type="dxa"/>
            <w:vAlign w:val="center"/>
          </w:tcPr>
          <w:p w:rsidR="002F5F85" w:rsidRPr="00A60765" w:rsidRDefault="00B05909" w:rsidP="0058503A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60765">
              <w:rPr>
                <w:rFonts w:ascii="Times New Roman" w:hAnsi="Times New Roman"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2F5F85" w:rsidRPr="00A60765" w:rsidRDefault="00B05909" w:rsidP="0058503A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60765">
              <w:rPr>
                <w:rFonts w:ascii="Times New Roman" w:hAnsi="Times New Roman"/>
              </w:rPr>
              <w:t>2025 год</w:t>
            </w:r>
          </w:p>
        </w:tc>
        <w:tc>
          <w:tcPr>
            <w:tcW w:w="1210" w:type="dxa"/>
            <w:vAlign w:val="center"/>
          </w:tcPr>
          <w:p w:rsidR="002F5F85" w:rsidRPr="00A60765" w:rsidRDefault="00B05909" w:rsidP="0058503A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60765">
              <w:rPr>
                <w:rFonts w:ascii="Times New Roman" w:hAnsi="Times New Roman"/>
              </w:rPr>
              <w:t>2026 год</w:t>
            </w:r>
          </w:p>
        </w:tc>
        <w:tc>
          <w:tcPr>
            <w:tcW w:w="1174" w:type="dxa"/>
            <w:vAlign w:val="center"/>
          </w:tcPr>
          <w:p w:rsidR="002F5F85" w:rsidRPr="00A60765" w:rsidRDefault="00B05909" w:rsidP="0058503A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60765">
              <w:rPr>
                <w:rFonts w:ascii="Times New Roman" w:hAnsi="Times New Roman"/>
              </w:rPr>
              <w:t>2027 год</w:t>
            </w:r>
          </w:p>
        </w:tc>
        <w:tc>
          <w:tcPr>
            <w:tcW w:w="1222" w:type="dxa"/>
            <w:vAlign w:val="center"/>
          </w:tcPr>
          <w:p w:rsidR="002F5F85" w:rsidRPr="00A60765" w:rsidRDefault="00B05909" w:rsidP="0058503A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60765">
              <w:rPr>
                <w:rFonts w:ascii="Times New Roman" w:hAnsi="Times New Roman"/>
              </w:rPr>
              <w:t>2028 год</w:t>
            </w:r>
          </w:p>
        </w:tc>
        <w:tc>
          <w:tcPr>
            <w:tcW w:w="1207" w:type="dxa"/>
            <w:vAlign w:val="center"/>
          </w:tcPr>
          <w:p w:rsidR="002F5F85" w:rsidRPr="00A60765" w:rsidRDefault="00B05909" w:rsidP="0058503A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60765">
              <w:rPr>
                <w:rFonts w:ascii="Times New Roman" w:hAnsi="Times New Roman"/>
              </w:rPr>
              <w:t>2029 год</w:t>
            </w:r>
          </w:p>
        </w:tc>
      </w:tr>
      <w:tr w:rsidR="009E2607" w:rsidRPr="00A60765" w:rsidTr="0058503A">
        <w:tc>
          <w:tcPr>
            <w:tcW w:w="617" w:type="dxa"/>
            <w:vAlign w:val="center"/>
          </w:tcPr>
          <w:p w:rsidR="009E2607" w:rsidRPr="00A60765" w:rsidRDefault="009E2607" w:rsidP="0058503A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60765">
              <w:rPr>
                <w:rFonts w:ascii="Times New Roman" w:hAnsi="Times New Roman"/>
              </w:rPr>
              <w:t>1.</w:t>
            </w:r>
          </w:p>
        </w:tc>
        <w:tc>
          <w:tcPr>
            <w:tcW w:w="1930" w:type="dxa"/>
            <w:vAlign w:val="center"/>
          </w:tcPr>
          <w:p w:rsidR="009E2607" w:rsidRPr="00A60765" w:rsidRDefault="009E2607" w:rsidP="0058503A">
            <w:pPr>
              <w:pStyle w:val="ConsPlusNonformat"/>
              <w:rPr>
                <w:rFonts w:ascii="Times New Roman" w:hAnsi="Times New Roman"/>
              </w:rPr>
            </w:pPr>
            <w:r w:rsidRPr="00A60765">
              <w:rPr>
                <w:rFonts w:ascii="Times New Roman" w:hAnsi="Times New Roman"/>
              </w:rPr>
              <w:t>Финансирование инвестиционной программы за счет выручки от реализации товаров (услуг) без НДС всего, в том числе:</w:t>
            </w:r>
          </w:p>
        </w:tc>
        <w:tc>
          <w:tcPr>
            <w:tcW w:w="1012" w:type="dxa"/>
            <w:vAlign w:val="center"/>
          </w:tcPr>
          <w:p w:rsidR="009E2607" w:rsidRPr="00A60765" w:rsidRDefault="009E2607" w:rsidP="0058503A">
            <w:pPr>
              <w:pStyle w:val="ConsPlusNonformat"/>
              <w:jc w:val="center"/>
              <w:rPr>
                <w:rFonts w:ascii="Times New Roman" w:hAnsi="Times New Roman"/>
              </w:rPr>
            </w:pPr>
            <w:proofErr w:type="spellStart"/>
            <w:r w:rsidRPr="00A60765">
              <w:rPr>
                <w:rFonts w:ascii="Times New Roman" w:hAnsi="Times New Roman"/>
              </w:rPr>
              <w:t>тыс.руб</w:t>
            </w:r>
            <w:proofErr w:type="spellEnd"/>
            <w:r w:rsidRPr="00A60765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vAlign w:val="center"/>
          </w:tcPr>
          <w:p w:rsidR="009E2607" w:rsidRPr="00A60765" w:rsidRDefault="009E2607" w:rsidP="005850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799 471,87</w:t>
            </w:r>
          </w:p>
        </w:tc>
        <w:tc>
          <w:tcPr>
            <w:tcW w:w="1210" w:type="dxa"/>
            <w:vAlign w:val="center"/>
          </w:tcPr>
          <w:p w:rsidR="009E2607" w:rsidRPr="00A60765" w:rsidRDefault="009E2607" w:rsidP="005850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1 247 842,24</w:t>
            </w:r>
          </w:p>
        </w:tc>
        <w:tc>
          <w:tcPr>
            <w:tcW w:w="1174" w:type="dxa"/>
            <w:vAlign w:val="center"/>
          </w:tcPr>
          <w:p w:rsidR="009E2607" w:rsidRPr="00A60765" w:rsidRDefault="009E2607" w:rsidP="005850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1 351 849,72</w:t>
            </w:r>
          </w:p>
        </w:tc>
        <w:tc>
          <w:tcPr>
            <w:tcW w:w="1222" w:type="dxa"/>
            <w:vAlign w:val="center"/>
          </w:tcPr>
          <w:p w:rsidR="009E2607" w:rsidRPr="00A60765" w:rsidRDefault="009E2607" w:rsidP="005850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1 260 094,20</w:t>
            </w:r>
          </w:p>
        </w:tc>
        <w:tc>
          <w:tcPr>
            <w:tcW w:w="1207" w:type="dxa"/>
            <w:vAlign w:val="center"/>
          </w:tcPr>
          <w:p w:rsidR="009E2607" w:rsidRPr="00A60765" w:rsidRDefault="009E2607" w:rsidP="005850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1 365 547,77</w:t>
            </w:r>
          </w:p>
        </w:tc>
      </w:tr>
      <w:tr w:rsidR="009E2607" w:rsidRPr="00A60765" w:rsidTr="0058503A">
        <w:trPr>
          <w:trHeight w:val="445"/>
        </w:trPr>
        <w:tc>
          <w:tcPr>
            <w:tcW w:w="617" w:type="dxa"/>
            <w:vAlign w:val="center"/>
          </w:tcPr>
          <w:p w:rsidR="009E2607" w:rsidRPr="00A60765" w:rsidRDefault="009E2607" w:rsidP="0058503A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60765">
              <w:rPr>
                <w:rFonts w:ascii="Times New Roman" w:hAnsi="Times New Roman"/>
              </w:rPr>
              <w:t xml:space="preserve">1.1. </w:t>
            </w:r>
          </w:p>
        </w:tc>
        <w:tc>
          <w:tcPr>
            <w:tcW w:w="1930" w:type="dxa"/>
            <w:vAlign w:val="center"/>
          </w:tcPr>
          <w:p w:rsidR="009E2607" w:rsidRPr="00A60765" w:rsidRDefault="009E2607" w:rsidP="0058503A">
            <w:pPr>
              <w:pStyle w:val="ConsPlusNonformat"/>
              <w:ind w:left="170"/>
              <w:rPr>
                <w:rFonts w:ascii="Times New Roman" w:hAnsi="Times New Roman"/>
              </w:rPr>
            </w:pPr>
            <w:r w:rsidRPr="00A60765">
              <w:rPr>
                <w:rFonts w:ascii="Times New Roman" w:hAnsi="Times New Roman"/>
              </w:rPr>
              <w:t>Амортизация</w:t>
            </w:r>
          </w:p>
        </w:tc>
        <w:tc>
          <w:tcPr>
            <w:tcW w:w="1012" w:type="dxa"/>
            <w:vAlign w:val="center"/>
          </w:tcPr>
          <w:p w:rsidR="009E2607" w:rsidRPr="00A60765" w:rsidRDefault="009E2607" w:rsidP="0058503A">
            <w:pPr>
              <w:pStyle w:val="ConsPlusNonformat"/>
              <w:jc w:val="center"/>
              <w:rPr>
                <w:rFonts w:ascii="Times New Roman" w:hAnsi="Times New Roman"/>
              </w:rPr>
            </w:pPr>
            <w:proofErr w:type="spellStart"/>
            <w:r w:rsidRPr="00A60765">
              <w:rPr>
                <w:rFonts w:ascii="Times New Roman" w:hAnsi="Times New Roman"/>
              </w:rPr>
              <w:t>тыс.руб</w:t>
            </w:r>
            <w:proofErr w:type="spellEnd"/>
            <w:r w:rsidRPr="00A60765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vAlign w:val="center"/>
          </w:tcPr>
          <w:p w:rsidR="009E2607" w:rsidRPr="00A60765" w:rsidRDefault="009E2607" w:rsidP="005850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747 171,87</w:t>
            </w:r>
          </w:p>
        </w:tc>
        <w:tc>
          <w:tcPr>
            <w:tcW w:w="1210" w:type="dxa"/>
            <w:vAlign w:val="center"/>
          </w:tcPr>
          <w:p w:rsidR="009E2607" w:rsidRPr="00A60765" w:rsidRDefault="009E2607" w:rsidP="005850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776 545,64</w:t>
            </w:r>
          </w:p>
        </w:tc>
        <w:tc>
          <w:tcPr>
            <w:tcW w:w="1174" w:type="dxa"/>
            <w:vAlign w:val="center"/>
          </w:tcPr>
          <w:p w:rsidR="009E2607" w:rsidRPr="00A60765" w:rsidRDefault="009E2607" w:rsidP="005850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817 544,12</w:t>
            </w:r>
          </w:p>
        </w:tc>
        <w:tc>
          <w:tcPr>
            <w:tcW w:w="1222" w:type="dxa"/>
            <w:vAlign w:val="center"/>
          </w:tcPr>
          <w:p w:rsidR="009E2607" w:rsidRPr="00A60765" w:rsidRDefault="009E2607" w:rsidP="005850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907 547,77</w:t>
            </w:r>
          </w:p>
        </w:tc>
        <w:tc>
          <w:tcPr>
            <w:tcW w:w="1207" w:type="dxa"/>
            <w:vAlign w:val="center"/>
          </w:tcPr>
          <w:p w:rsidR="009E2607" w:rsidRPr="00A60765" w:rsidRDefault="009E2607" w:rsidP="005850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907 547,77</w:t>
            </w:r>
          </w:p>
        </w:tc>
      </w:tr>
      <w:tr w:rsidR="009E2607" w:rsidRPr="00A60765" w:rsidTr="0058503A">
        <w:tc>
          <w:tcPr>
            <w:tcW w:w="617" w:type="dxa"/>
            <w:vAlign w:val="center"/>
          </w:tcPr>
          <w:p w:rsidR="009E2607" w:rsidRPr="00A60765" w:rsidRDefault="009E2607" w:rsidP="0058503A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  <w:p w:rsidR="009E2607" w:rsidRPr="00A60765" w:rsidRDefault="009E2607" w:rsidP="0058503A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60765">
              <w:rPr>
                <w:rFonts w:ascii="Times New Roman" w:hAnsi="Times New Roman"/>
              </w:rPr>
              <w:t>1.2.</w:t>
            </w:r>
          </w:p>
        </w:tc>
        <w:tc>
          <w:tcPr>
            <w:tcW w:w="1930" w:type="dxa"/>
            <w:vAlign w:val="center"/>
          </w:tcPr>
          <w:p w:rsidR="009E2607" w:rsidRPr="00A60765" w:rsidRDefault="009E2607" w:rsidP="0058503A">
            <w:pPr>
              <w:pStyle w:val="ConsPlusNonformat"/>
              <w:ind w:left="170"/>
              <w:rPr>
                <w:rFonts w:ascii="Times New Roman" w:hAnsi="Times New Roman"/>
              </w:rPr>
            </w:pPr>
            <w:r w:rsidRPr="00A60765">
              <w:rPr>
                <w:rFonts w:ascii="Times New Roman" w:hAnsi="Times New Roman"/>
              </w:rPr>
              <w:t xml:space="preserve">Дополнительное финансирование инвестиционной программы за счет реализации положений Соглашения без НДС </w:t>
            </w:r>
          </w:p>
          <w:p w:rsidR="009E2607" w:rsidRPr="00A60765" w:rsidRDefault="009E2607" w:rsidP="0058503A">
            <w:pPr>
              <w:pStyle w:val="ConsPlusNonformat"/>
              <w:ind w:left="170"/>
              <w:rPr>
                <w:rFonts w:ascii="Times New Roman" w:hAnsi="Times New Roman"/>
              </w:rPr>
            </w:pPr>
            <w:r w:rsidRPr="00A60765">
              <w:rPr>
                <w:rFonts w:ascii="Times New Roman" w:hAnsi="Times New Roman" w:cs="Times New Roman"/>
              </w:rPr>
              <w:t>(в том числе средства от возврата «регуляторного долга»)</w:t>
            </w:r>
          </w:p>
        </w:tc>
        <w:tc>
          <w:tcPr>
            <w:tcW w:w="1012" w:type="dxa"/>
            <w:vAlign w:val="center"/>
          </w:tcPr>
          <w:p w:rsidR="009E2607" w:rsidRPr="00A60765" w:rsidRDefault="009E2607" w:rsidP="0058503A">
            <w:pPr>
              <w:pStyle w:val="ConsPlusNonformat"/>
              <w:jc w:val="center"/>
              <w:rPr>
                <w:rFonts w:ascii="Times New Roman" w:hAnsi="Times New Roman"/>
              </w:rPr>
            </w:pPr>
            <w:proofErr w:type="spellStart"/>
            <w:r w:rsidRPr="00A60765">
              <w:rPr>
                <w:rFonts w:ascii="Times New Roman" w:hAnsi="Times New Roman"/>
              </w:rPr>
              <w:t>тыс.руб</w:t>
            </w:r>
            <w:proofErr w:type="spellEnd"/>
            <w:r w:rsidRPr="00A60765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vAlign w:val="center"/>
          </w:tcPr>
          <w:p w:rsidR="009E2607" w:rsidRPr="00A60765" w:rsidRDefault="009E2607" w:rsidP="005850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52 300,00</w:t>
            </w:r>
          </w:p>
        </w:tc>
        <w:tc>
          <w:tcPr>
            <w:tcW w:w="1210" w:type="dxa"/>
            <w:vAlign w:val="center"/>
          </w:tcPr>
          <w:p w:rsidR="009E2607" w:rsidRPr="00A60765" w:rsidRDefault="009E2607" w:rsidP="005850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471 296,60</w:t>
            </w:r>
          </w:p>
        </w:tc>
        <w:tc>
          <w:tcPr>
            <w:tcW w:w="1174" w:type="dxa"/>
            <w:vAlign w:val="center"/>
          </w:tcPr>
          <w:p w:rsidR="009E2607" w:rsidRPr="00A60765" w:rsidRDefault="009E2607" w:rsidP="005850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534 305,60</w:t>
            </w:r>
          </w:p>
        </w:tc>
        <w:tc>
          <w:tcPr>
            <w:tcW w:w="1222" w:type="dxa"/>
            <w:vAlign w:val="center"/>
          </w:tcPr>
          <w:p w:rsidR="009E2607" w:rsidRPr="00A60765" w:rsidRDefault="009E2607" w:rsidP="005850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352 546,44</w:t>
            </w:r>
          </w:p>
        </w:tc>
        <w:tc>
          <w:tcPr>
            <w:tcW w:w="1207" w:type="dxa"/>
            <w:vAlign w:val="center"/>
          </w:tcPr>
          <w:p w:rsidR="009E2607" w:rsidRPr="00A60765" w:rsidRDefault="009E2607" w:rsidP="005850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458 000,00</w:t>
            </w:r>
          </w:p>
        </w:tc>
      </w:tr>
    </w:tbl>
    <w:p w:rsidR="0039531A" w:rsidRPr="00A60765" w:rsidRDefault="0039531A" w:rsidP="00F91C51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:rsidR="0039531A" w:rsidRPr="00A60765" w:rsidRDefault="0039531A" w:rsidP="00395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65">
        <w:rPr>
          <w:rFonts w:ascii="Times New Roman" w:hAnsi="Times New Roman" w:cs="Times New Roman"/>
          <w:sz w:val="28"/>
          <w:szCs w:val="28"/>
        </w:rPr>
        <w:t>Оценка достижения показателя финансирования инвестиционной программы</w:t>
      </w:r>
      <w:r w:rsidR="001D3E5C" w:rsidRPr="00A60765">
        <w:rPr>
          <w:rFonts w:ascii="Times New Roman" w:hAnsi="Times New Roman" w:cs="Times New Roman"/>
          <w:sz w:val="28"/>
          <w:szCs w:val="28"/>
        </w:rPr>
        <w:t>:</w:t>
      </w:r>
    </w:p>
    <w:p w:rsidR="0039531A" w:rsidRPr="00A60765" w:rsidRDefault="00A60765" w:rsidP="001D3E5C">
      <w:pPr>
        <w:spacing w:after="0" w:line="240" w:lineRule="auto"/>
        <w:ind w:firstLine="709"/>
        <w:jc w:val="center"/>
        <w:rPr>
          <w:rFonts w:ascii="Cambria Math" w:hAnsi="Cambria Math" w:cs="Times New Roman"/>
          <w:sz w:val="28"/>
          <w:szCs w:val="28"/>
          <w:oMath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ИП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факт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≥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ИП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план</m:t>
            </m:r>
          </m:sup>
        </m:sSubSup>
      </m:oMath>
      <w:r w:rsidR="001D3E5C" w:rsidRPr="00A60765">
        <w:rPr>
          <w:rFonts w:ascii="Times New Roman" w:hAnsi="Times New Roman" w:cs="Times New Roman"/>
          <w:sz w:val="28"/>
          <w:szCs w:val="28"/>
        </w:rPr>
        <w:t>,</w:t>
      </w:r>
    </w:p>
    <w:p w:rsidR="0039531A" w:rsidRPr="00A60765" w:rsidRDefault="0039531A" w:rsidP="00395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65">
        <w:rPr>
          <w:rFonts w:ascii="Times New Roman" w:hAnsi="Times New Roman" w:cs="Times New Roman"/>
          <w:sz w:val="28"/>
          <w:szCs w:val="28"/>
        </w:rPr>
        <w:t>где:</w:t>
      </w:r>
    </w:p>
    <w:p w:rsidR="0039531A" w:rsidRPr="00A60765" w:rsidRDefault="00A60765" w:rsidP="00395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ИП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факт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39531A" w:rsidRPr="00A60765">
        <w:rPr>
          <w:rFonts w:ascii="Times New Roman" w:hAnsi="Times New Roman" w:cs="Times New Roman"/>
          <w:sz w:val="28"/>
          <w:szCs w:val="28"/>
        </w:rPr>
        <w:t xml:space="preserve">- объем фактического финансирования инвестиционной программы, утвержденной (скорректированной) в установленном порядке на год </w:t>
      </w:r>
      <w:proofErr w:type="spellStart"/>
      <w:r w:rsidR="0039531A" w:rsidRPr="00A6076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39531A" w:rsidRPr="00A60765">
        <w:rPr>
          <w:rFonts w:ascii="Times New Roman" w:hAnsi="Times New Roman" w:cs="Times New Roman"/>
          <w:sz w:val="28"/>
          <w:szCs w:val="28"/>
        </w:rPr>
        <w:t>;</w:t>
      </w:r>
    </w:p>
    <w:p w:rsidR="0039531A" w:rsidRPr="00A60765" w:rsidRDefault="00A60765" w:rsidP="00395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ИП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план</m:t>
            </m:r>
          </m:sup>
        </m:sSubSup>
      </m:oMath>
      <w:r w:rsidR="0039531A" w:rsidRPr="00A60765">
        <w:rPr>
          <w:rFonts w:ascii="Times New Roman" w:hAnsi="Times New Roman" w:cs="Times New Roman"/>
          <w:sz w:val="28"/>
          <w:szCs w:val="28"/>
        </w:rPr>
        <w:t xml:space="preserve"> - плановый размер финансирования инвестиционной программы на год </w:t>
      </w:r>
      <w:proofErr w:type="spellStart"/>
      <w:r w:rsidR="0039531A" w:rsidRPr="00A6076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39531A" w:rsidRPr="00A60765">
        <w:rPr>
          <w:rFonts w:ascii="Times New Roman" w:hAnsi="Times New Roman" w:cs="Times New Roman"/>
          <w:sz w:val="28"/>
          <w:szCs w:val="28"/>
        </w:rPr>
        <w:t>.</w:t>
      </w:r>
    </w:p>
    <w:p w:rsidR="0039531A" w:rsidRPr="00A60765" w:rsidRDefault="0039531A" w:rsidP="00395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65">
        <w:rPr>
          <w:rFonts w:ascii="Times New Roman" w:hAnsi="Times New Roman" w:cs="Times New Roman"/>
          <w:sz w:val="28"/>
          <w:szCs w:val="28"/>
        </w:rPr>
        <w:t>При соблюдении указанного неравенства по</w:t>
      </w:r>
      <w:r w:rsidR="003B6CCA" w:rsidRPr="00A60765">
        <w:rPr>
          <w:rFonts w:ascii="Times New Roman" w:hAnsi="Times New Roman" w:cs="Times New Roman"/>
          <w:sz w:val="28"/>
          <w:szCs w:val="28"/>
        </w:rPr>
        <w:t>казатель считается достигнутым;</w:t>
      </w:r>
    </w:p>
    <w:p w:rsidR="0039531A" w:rsidRPr="00A60765" w:rsidRDefault="0039531A" w:rsidP="00395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65">
        <w:rPr>
          <w:rFonts w:ascii="Times New Roman" w:hAnsi="Times New Roman" w:cs="Times New Roman"/>
          <w:sz w:val="28"/>
          <w:szCs w:val="28"/>
        </w:rPr>
        <w:t xml:space="preserve"> д) </w:t>
      </w:r>
      <w:r w:rsidR="00336CF5" w:rsidRPr="00A60765">
        <w:rPr>
          <w:rFonts w:ascii="Times New Roman" w:hAnsi="Times New Roman" w:cs="Times New Roman"/>
          <w:sz w:val="28"/>
          <w:szCs w:val="28"/>
        </w:rPr>
        <w:t>обеспечение реализации в рамках инвестиционной программы</w:t>
      </w:r>
      <w:r w:rsidRPr="00A60765">
        <w:rPr>
          <w:rFonts w:ascii="Times New Roman" w:hAnsi="Times New Roman" w:cs="Times New Roman"/>
          <w:sz w:val="28"/>
          <w:szCs w:val="28"/>
        </w:rPr>
        <w:t xml:space="preserve"> Организации выполнения следующих мероприятий по строительству, реконструкции (модернизации) объектов, имеющих приоритетное значение для Пензенской области:</w:t>
      </w:r>
    </w:p>
    <w:p w:rsidR="00336CF5" w:rsidRPr="00A60765" w:rsidRDefault="00336CF5" w:rsidP="00336CF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65">
        <w:rPr>
          <w:rFonts w:ascii="Times New Roman" w:hAnsi="Times New Roman" w:cs="Times New Roman"/>
          <w:sz w:val="28"/>
          <w:szCs w:val="28"/>
        </w:rPr>
        <w:t>1) строительство нового центра питания ПС 110</w:t>
      </w:r>
      <w:r w:rsidR="00E305D5" w:rsidRPr="00A60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76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A60765">
        <w:rPr>
          <w:rFonts w:ascii="Times New Roman" w:hAnsi="Times New Roman" w:cs="Times New Roman"/>
          <w:sz w:val="28"/>
          <w:szCs w:val="28"/>
        </w:rPr>
        <w:t xml:space="preserve"> «Заря-2» </w:t>
      </w:r>
      <w:r w:rsidR="002F1F9F" w:rsidRPr="00A60765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B15C32" w:rsidRPr="00A60765">
        <w:rPr>
          <w:rFonts w:ascii="Times New Roman" w:hAnsi="Times New Roman" w:cs="Times New Roman"/>
          <w:sz w:val="28"/>
          <w:szCs w:val="28"/>
        </w:rPr>
        <w:t>до 31.12.2027</w:t>
      </w:r>
      <w:r w:rsidR="002F1F9F" w:rsidRPr="00A60765">
        <w:rPr>
          <w:rFonts w:ascii="Times New Roman" w:hAnsi="Times New Roman" w:cs="Times New Roman"/>
          <w:sz w:val="28"/>
          <w:szCs w:val="28"/>
        </w:rPr>
        <w:t>;</w:t>
      </w:r>
    </w:p>
    <w:p w:rsidR="007F7AB3" w:rsidRPr="00A60765" w:rsidRDefault="00336CF5" w:rsidP="007F7A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65">
        <w:rPr>
          <w:rFonts w:ascii="Times New Roman" w:hAnsi="Times New Roman" w:cs="Times New Roman"/>
          <w:sz w:val="28"/>
          <w:szCs w:val="28"/>
        </w:rPr>
        <w:t>2) реконструкция ПС 110</w:t>
      </w:r>
      <w:r w:rsidR="00E305D5" w:rsidRPr="00A60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76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A60765">
        <w:rPr>
          <w:rFonts w:ascii="Times New Roman" w:hAnsi="Times New Roman" w:cs="Times New Roman"/>
          <w:sz w:val="28"/>
          <w:szCs w:val="28"/>
        </w:rPr>
        <w:t xml:space="preserve"> «</w:t>
      </w:r>
      <w:r w:rsidR="003B6CCA" w:rsidRPr="00A60765">
        <w:rPr>
          <w:rFonts w:ascii="Times New Roman" w:hAnsi="Times New Roman" w:cs="Times New Roman"/>
          <w:sz w:val="28"/>
          <w:szCs w:val="28"/>
        </w:rPr>
        <w:t xml:space="preserve">Водозабор» в срок </w:t>
      </w:r>
      <w:r w:rsidR="007F7AB3" w:rsidRPr="00A60765">
        <w:rPr>
          <w:rFonts w:ascii="Times New Roman" w:hAnsi="Times New Roman" w:cs="Times New Roman"/>
          <w:sz w:val="28"/>
          <w:szCs w:val="28"/>
        </w:rPr>
        <w:t>до 31.12.2028</w:t>
      </w:r>
      <w:r w:rsidR="002F1F9F" w:rsidRPr="00A60765">
        <w:rPr>
          <w:rFonts w:ascii="Times New Roman" w:hAnsi="Times New Roman" w:cs="Times New Roman"/>
          <w:sz w:val="28"/>
          <w:szCs w:val="28"/>
        </w:rPr>
        <w:t>;</w:t>
      </w:r>
    </w:p>
    <w:p w:rsidR="00D90A1F" w:rsidRPr="00A60765" w:rsidRDefault="00B05909" w:rsidP="0058503A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A60765">
        <w:rPr>
          <w:rFonts w:ascii="Times New Roman" w:hAnsi="Times New Roman" w:cs="Times New Roman"/>
          <w:sz w:val="28"/>
        </w:rPr>
        <w:t xml:space="preserve">е) </w:t>
      </w:r>
      <w:r w:rsidR="00D90A1F" w:rsidRPr="00A60765">
        <w:rPr>
          <w:rFonts w:ascii="Times New Roman" w:eastAsia="Times New Roman" w:hAnsi="Times New Roman" w:cs="Times New Roman"/>
          <w:sz w:val="28"/>
        </w:rPr>
        <w:t>увеличение расходов на оплату труда производственного персонала сверх объемов, учтенных в составе подконтрольных расходов, за счет средств от возврата</w:t>
      </w:r>
      <w:r w:rsidR="00DB3271" w:rsidRPr="00A60765">
        <w:rPr>
          <w:rFonts w:ascii="Times New Roman" w:eastAsia="Times New Roman" w:hAnsi="Times New Roman" w:cs="Times New Roman"/>
          <w:sz w:val="28"/>
        </w:rPr>
        <w:t xml:space="preserve"> экономически обоснованных расходов Организации, не учтенных в целях сглаживания изменения тарифов</w:t>
      </w:r>
      <w:r w:rsidR="00DB3271" w:rsidRPr="00A60765">
        <w:t xml:space="preserve"> </w:t>
      </w:r>
      <w:r w:rsidR="00DB3271" w:rsidRPr="00A60765">
        <w:rPr>
          <w:rFonts w:ascii="Times New Roman" w:eastAsia="Times New Roman" w:hAnsi="Times New Roman" w:cs="Times New Roman"/>
          <w:sz w:val="28"/>
        </w:rPr>
        <w:t>в предыдущие долгосрочные периоды регулирования, в следующих размерах</w:t>
      </w:r>
      <w:r w:rsidR="00126729" w:rsidRPr="00A60765">
        <w:rPr>
          <w:rFonts w:ascii="Times New Roman" w:eastAsia="Times New Roman" w:hAnsi="Times New Roman" w:cs="Times New Roman"/>
          <w:sz w:val="28"/>
        </w:rPr>
        <w:t>:</w:t>
      </w:r>
    </w:p>
    <w:p w:rsidR="00D46349" w:rsidRPr="00A60765" w:rsidRDefault="00B05909" w:rsidP="00D46349">
      <w:pPr>
        <w:pStyle w:val="ConsPlusNonformat"/>
        <w:ind w:firstLine="709"/>
        <w:jc w:val="right"/>
        <w:rPr>
          <w:rFonts w:ascii="Times New Roman" w:hAnsi="Times New Roman"/>
        </w:rPr>
      </w:pPr>
      <w:r w:rsidRPr="00A60765">
        <w:rPr>
          <w:rFonts w:ascii="Times New Roman" w:hAnsi="Times New Roman"/>
        </w:rPr>
        <w:t>Таблица 5</w:t>
      </w:r>
    </w:p>
    <w:tbl>
      <w:tblPr>
        <w:tblStyle w:val="a7"/>
        <w:tblW w:w="9558" w:type="dxa"/>
        <w:tblLook w:val="04A0" w:firstRow="1" w:lastRow="0" w:firstColumn="1" w:lastColumn="0" w:noHBand="0" w:noVBand="1"/>
      </w:tblPr>
      <w:tblGrid>
        <w:gridCol w:w="927"/>
        <w:gridCol w:w="2771"/>
        <w:gridCol w:w="1459"/>
        <w:gridCol w:w="1467"/>
        <w:gridCol w:w="1467"/>
        <w:gridCol w:w="1467"/>
      </w:tblGrid>
      <w:tr w:rsidR="00090C1F" w:rsidRPr="00A60765" w:rsidTr="0058503A">
        <w:trPr>
          <w:trHeight w:val="398"/>
          <w:tblHeader/>
        </w:trPr>
        <w:tc>
          <w:tcPr>
            <w:tcW w:w="927" w:type="dxa"/>
            <w:vAlign w:val="center"/>
          </w:tcPr>
          <w:p w:rsidR="00090C1F" w:rsidRPr="00A60765" w:rsidRDefault="00090C1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71" w:type="dxa"/>
            <w:vAlign w:val="center"/>
          </w:tcPr>
          <w:p w:rsidR="00090C1F" w:rsidRPr="00A60765" w:rsidRDefault="00090C1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59" w:type="dxa"/>
            <w:vAlign w:val="center"/>
          </w:tcPr>
          <w:p w:rsidR="00090C1F" w:rsidRPr="00A60765" w:rsidRDefault="00090C1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67" w:type="dxa"/>
            <w:vAlign w:val="center"/>
          </w:tcPr>
          <w:p w:rsidR="00090C1F" w:rsidRPr="00A60765" w:rsidRDefault="00090C1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67" w:type="dxa"/>
            <w:vAlign w:val="center"/>
          </w:tcPr>
          <w:p w:rsidR="00090C1F" w:rsidRPr="00A60765" w:rsidRDefault="00090C1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67" w:type="dxa"/>
            <w:vAlign w:val="center"/>
          </w:tcPr>
          <w:p w:rsidR="00090C1F" w:rsidRPr="00A60765" w:rsidRDefault="00090C1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2027 год</w:t>
            </w:r>
          </w:p>
        </w:tc>
      </w:tr>
      <w:tr w:rsidR="009E2607" w:rsidRPr="00A60765" w:rsidTr="0058503A">
        <w:trPr>
          <w:trHeight w:val="581"/>
        </w:trPr>
        <w:tc>
          <w:tcPr>
            <w:tcW w:w="927" w:type="dxa"/>
            <w:vAlign w:val="center"/>
          </w:tcPr>
          <w:p w:rsidR="009E2607" w:rsidRPr="00A60765" w:rsidRDefault="009E2607" w:rsidP="009E26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71" w:type="dxa"/>
            <w:vAlign w:val="center"/>
          </w:tcPr>
          <w:p w:rsidR="009E2607" w:rsidRPr="00A60765" w:rsidRDefault="009E2607" w:rsidP="009E2607">
            <w:pPr>
              <w:pStyle w:val="ConsPlusNonformat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</w:rPr>
              <w:t>Дополнительный объем роста расходов на оплату труда</w:t>
            </w:r>
            <w:r w:rsidR="00350E1C" w:rsidRPr="00A60765">
              <w:t xml:space="preserve"> </w:t>
            </w:r>
            <w:r w:rsidR="00350E1C" w:rsidRPr="00A60765">
              <w:rPr>
                <w:rFonts w:ascii="Times New Roman" w:hAnsi="Times New Roman" w:cs="Times New Roman"/>
              </w:rPr>
              <w:t>и оплату страховых взносов</w:t>
            </w:r>
          </w:p>
        </w:tc>
        <w:tc>
          <w:tcPr>
            <w:tcW w:w="1459" w:type="dxa"/>
            <w:vAlign w:val="center"/>
          </w:tcPr>
          <w:p w:rsidR="009E2607" w:rsidRPr="00A60765" w:rsidRDefault="009E2607" w:rsidP="009E260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0765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A607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7" w:type="dxa"/>
            <w:shd w:val="clear" w:color="auto" w:fill="FFFFFF" w:themeFill="background1"/>
            <w:vAlign w:val="center"/>
          </w:tcPr>
          <w:p w:rsidR="009E2607" w:rsidRPr="00A60765" w:rsidRDefault="009E2607" w:rsidP="0058503A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A607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7" w:type="dxa"/>
            <w:shd w:val="clear" w:color="auto" w:fill="FFFFFF" w:themeFill="background1"/>
            <w:vAlign w:val="center"/>
          </w:tcPr>
          <w:p w:rsidR="009E2607" w:rsidRPr="00A60765" w:rsidRDefault="009E2607" w:rsidP="005850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  <w:color w:val="000000"/>
              </w:rPr>
              <w:t>116 743,0</w:t>
            </w:r>
          </w:p>
        </w:tc>
        <w:tc>
          <w:tcPr>
            <w:tcW w:w="1467" w:type="dxa"/>
            <w:shd w:val="clear" w:color="auto" w:fill="FFFFFF" w:themeFill="background1"/>
            <w:vAlign w:val="center"/>
          </w:tcPr>
          <w:p w:rsidR="009E2607" w:rsidRPr="00A60765" w:rsidRDefault="009E2607" w:rsidP="005850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60765">
              <w:rPr>
                <w:rFonts w:ascii="Times New Roman" w:hAnsi="Times New Roman" w:cs="Times New Roman"/>
                <w:color w:val="000000"/>
              </w:rPr>
              <w:t>121 412,7</w:t>
            </w:r>
          </w:p>
        </w:tc>
      </w:tr>
    </w:tbl>
    <w:p w:rsidR="0039531A" w:rsidRPr="00A60765" w:rsidRDefault="0039531A" w:rsidP="00395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65">
        <w:rPr>
          <w:rFonts w:ascii="Times New Roman" w:hAnsi="Times New Roman" w:cs="Times New Roman"/>
          <w:sz w:val="28"/>
          <w:szCs w:val="28"/>
        </w:rPr>
        <w:t xml:space="preserve">Указанные расходы </w:t>
      </w:r>
      <w:r w:rsidR="00771AE8" w:rsidRPr="00A60765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A60765">
        <w:rPr>
          <w:rFonts w:ascii="Times New Roman" w:hAnsi="Times New Roman" w:cs="Times New Roman"/>
          <w:sz w:val="28"/>
          <w:szCs w:val="28"/>
        </w:rPr>
        <w:t xml:space="preserve">не подлежат </w:t>
      </w:r>
      <w:r w:rsidR="00771AE8" w:rsidRPr="00A60765">
        <w:rPr>
          <w:rFonts w:ascii="Times New Roman" w:hAnsi="Times New Roman" w:cs="Times New Roman"/>
          <w:sz w:val="28"/>
          <w:szCs w:val="28"/>
        </w:rPr>
        <w:t>учету</w:t>
      </w:r>
      <w:r w:rsidRPr="00A60765">
        <w:rPr>
          <w:rFonts w:ascii="Times New Roman" w:hAnsi="Times New Roman" w:cs="Times New Roman"/>
          <w:sz w:val="28"/>
          <w:szCs w:val="28"/>
        </w:rPr>
        <w:t xml:space="preserve"> в составе необходимой валовой выручки</w:t>
      </w:r>
      <w:r w:rsidR="00771AE8" w:rsidRPr="00A60765">
        <w:rPr>
          <w:rFonts w:ascii="Times New Roman" w:hAnsi="Times New Roman" w:cs="Times New Roman"/>
          <w:sz w:val="28"/>
          <w:szCs w:val="28"/>
        </w:rPr>
        <w:t xml:space="preserve"> при проведении</w:t>
      </w:r>
      <w:r w:rsidRPr="00A60765">
        <w:rPr>
          <w:rFonts w:ascii="Times New Roman" w:hAnsi="Times New Roman" w:cs="Times New Roman"/>
          <w:sz w:val="28"/>
          <w:szCs w:val="28"/>
        </w:rPr>
        <w:t xml:space="preserve"> корректировок </w:t>
      </w:r>
      <w:r w:rsidR="00771AE8" w:rsidRPr="00A60765">
        <w:rPr>
          <w:rFonts w:ascii="Times New Roman" w:hAnsi="Times New Roman" w:cs="Times New Roman"/>
          <w:sz w:val="28"/>
          <w:szCs w:val="28"/>
        </w:rPr>
        <w:t>необходимой валовой выручки за 202</w:t>
      </w:r>
      <w:r w:rsidR="00B1388B" w:rsidRPr="00A60765">
        <w:rPr>
          <w:rFonts w:ascii="Times New Roman" w:hAnsi="Times New Roman" w:cs="Times New Roman"/>
          <w:sz w:val="28"/>
          <w:szCs w:val="28"/>
        </w:rPr>
        <w:t>6</w:t>
      </w:r>
      <w:r w:rsidR="00771AE8" w:rsidRPr="00A60765">
        <w:rPr>
          <w:rFonts w:ascii="Times New Roman" w:hAnsi="Times New Roman" w:cs="Times New Roman"/>
          <w:sz w:val="28"/>
          <w:szCs w:val="28"/>
        </w:rPr>
        <w:t xml:space="preserve"> - 2027 годы в соответствии с пунктом</w:t>
      </w:r>
      <w:r w:rsidRPr="00A60765">
        <w:rPr>
          <w:rFonts w:ascii="Times New Roman" w:hAnsi="Times New Roman" w:cs="Times New Roman"/>
          <w:sz w:val="28"/>
          <w:szCs w:val="28"/>
        </w:rPr>
        <w:t xml:space="preserve"> 7 Основ ценообразования</w:t>
      </w:r>
      <w:r w:rsidR="00E305D5" w:rsidRPr="00A60765">
        <w:rPr>
          <w:rFonts w:ascii="Times New Roman" w:hAnsi="Times New Roman" w:cs="Times New Roman"/>
          <w:sz w:val="28"/>
          <w:szCs w:val="28"/>
        </w:rPr>
        <w:t xml:space="preserve"> в области регули</w:t>
      </w:r>
      <w:r w:rsidR="006D6B9F" w:rsidRPr="00A60765">
        <w:rPr>
          <w:rFonts w:ascii="Times New Roman" w:hAnsi="Times New Roman" w:cs="Times New Roman"/>
          <w:sz w:val="28"/>
          <w:szCs w:val="28"/>
        </w:rPr>
        <w:t>руемых цен (тарифов) в электроэ</w:t>
      </w:r>
      <w:r w:rsidR="00E305D5" w:rsidRPr="00A60765">
        <w:rPr>
          <w:rFonts w:ascii="Times New Roman" w:hAnsi="Times New Roman" w:cs="Times New Roman"/>
          <w:sz w:val="28"/>
          <w:szCs w:val="28"/>
        </w:rPr>
        <w:t>н</w:t>
      </w:r>
      <w:r w:rsidR="006D6B9F" w:rsidRPr="00A60765">
        <w:rPr>
          <w:rFonts w:ascii="Times New Roman" w:hAnsi="Times New Roman" w:cs="Times New Roman"/>
          <w:sz w:val="28"/>
          <w:szCs w:val="28"/>
        </w:rPr>
        <w:t>е</w:t>
      </w:r>
      <w:r w:rsidR="00E305D5" w:rsidRPr="00A60765">
        <w:rPr>
          <w:rFonts w:ascii="Times New Roman" w:hAnsi="Times New Roman" w:cs="Times New Roman"/>
          <w:sz w:val="28"/>
          <w:szCs w:val="28"/>
        </w:rPr>
        <w:t>ргетике, утвержденных постановлением Правительства Российской Федерации от 29.12.2011 № 1178 (далее – Основы ценообразования)</w:t>
      </w:r>
      <w:r w:rsidR="00FD6F4E" w:rsidRPr="00A60765">
        <w:rPr>
          <w:rFonts w:ascii="Times New Roman" w:hAnsi="Times New Roman" w:cs="Times New Roman"/>
          <w:sz w:val="28"/>
          <w:szCs w:val="28"/>
        </w:rPr>
        <w:t>.</w:t>
      </w:r>
      <w:r w:rsidR="000D75E8" w:rsidRPr="00A607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F85" w:rsidRPr="00A60765" w:rsidRDefault="00B05909">
      <w:pPr>
        <w:pStyle w:val="ConsPlusNormal"/>
        <w:ind w:firstLine="709"/>
        <w:jc w:val="both"/>
        <w:rPr>
          <w:sz w:val="28"/>
        </w:rPr>
      </w:pPr>
      <w:r w:rsidRPr="00A60765">
        <w:rPr>
          <w:sz w:val="28"/>
        </w:rPr>
        <w:t>3. К обязательствам Регулирующего орг</w:t>
      </w:r>
      <w:r w:rsidR="00A34175" w:rsidRPr="00A60765">
        <w:rPr>
          <w:sz w:val="28"/>
        </w:rPr>
        <w:t>ана в соответствии с настоящим С</w:t>
      </w:r>
      <w:r w:rsidRPr="00A60765">
        <w:rPr>
          <w:sz w:val="28"/>
        </w:rPr>
        <w:t>оглашением относятся:</w:t>
      </w:r>
    </w:p>
    <w:p w:rsidR="002F5F85" w:rsidRPr="00A60765" w:rsidRDefault="00B05909">
      <w:pPr>
        <w:pStyle w:val="ConsPlusNormal"/>
        <w:ind w:firstLine="709"/>
        <w:jc w:val="both"/>
        <w:rPr>
          <w:sz w:val="28"/>
        </w:rPr>
      </w:pPr>
      <w:r w:rsidRPr="00A60765">
        <w:rPr>
          <w:sz w:val="28"/>
        </w:rPr>
        <w:t xml:space="preserve">а) расчет необходимой валовой выручки </w:t>
      </w:r>
      <w:r w:rsidRPr="00A60765">
        <w:rPr>
          <w:sz w:val="28"/>
          <w:szCs w:val="28"/>
        </w:rPr>
        <w:t>О</w:t>
      </w:r>
      <w:r w:rsidRPr="00A60765">
        <w:rPr>
          <w:sz w:val="28"/>
        </w:rPr>
        <w:t>рганизации с соблюдением параметров регулирования, у</w:t>
      </w:r>
      <w:r w:rsidR="00A34175" w:rsidRPr="00A60765">
        <w:rPr>
          <w:sz w:val="28"/>
        </w:rPr>
        <w:t>казанных в пункте 2 настоящего С</w:t>
      </w:r>
      <w:r w:rsidR="00AA76D4" w:rsidRPr="00A60765">
        <w:rPr>
          <w:sz w:val="28"/>
        </w:rPr>
        <w:t>оглашения;</w:t>
      </w:r>
    </w:p>
    <w:p w:rsidR="002F5F85" w:rsidRPr="00A60765" w:rsidRDefault="00B05909">
      <w:pPr>
        <w:pStyle w:val="ConsPlusNormal"/>
        <w:ind w:firstLine="709"/>
        <w:jc w:val="both"/>
        <w:rPr>
          <w:sz w:val="28"/>
        </w:rPr>
      </w:pPr>
      <w:r w:rsidRPr="00A60765">
        <w:rPr>
          <w:sz w:val="28"/>
        </w:rPr>
        <w:t xml:space="preserve">б) учет сохранения в распоряжении </w:t>
      </w:r>
      <w:r w:rsidRPr="00A60765">
        <w:rPr>
          <w:sz w:val="28"/>
          <w:szCs w:val="28"/>
        </w:rPr>
        <w:t>О</w:t>
      </w:r>
      <w:r w:rsidRPr="00A60765">
        <w:rPr>
          <w:sz w:val="28"/>
        </w:rPr>
        <w:t xml:space="preserve">рганизации средств в размере экономии расходов на оплату потерь электрической энергии, достигнутой </w:t>
      </w:r>
      <w:r w:rsidRPr="00A60765">
        <w:rPr>
          <w:sz w:val="28"/>
          <w:szCs w:val="28"/>
        </w:rPr>
        <w:t>О</w:t>
      </w:r>
      <w:r w:rsidRPr="00A60765">
        <w:rPr>
          <w:sz w:val="28"/>
        </w:rPr>
        <w:t>рганизацией при осуществлении деятельности по оказанию услуг по передаче электрической энергии в результате проведения мероприятий по сокращению объема используемых энергетических ресурсов, и экономии операционных (подконтрольных) расходов;</w:t>
      </w:r>
    </w:p>
    <w:p w:rsidR="00A47AC3" w:rsidRPr="00A60765" w:rsidRDefault="00B05909">
      <w:pPr>
        <w:pStyle w:val="ConsPlusNormal"/>
        <w:ind w:firstLine="709"/>
        <w:jc w:val="both"/>
        <w:rPr>
          <w:sz w:val="28"/>
        </w:rPr>
      </w:pPr>
      <w:r w:rsidRPr="00A60765">
        <w:rPr>
          <w:sz w:val="28"/>
        </w:rPr>
        <w:t xml:space="preserve">в) компенсация за счет средств бюджета </w:t>
      </w:r>
      <w:r w:rsidR="00CE6856" w:rsidRPr="00A60765">
        <w:rPr>
          <w:sz w:val="28"/>
        </w:rPr>
        <w:t xml:space="preserve">Пензенской области </w:t>
      </w:r>
      <w:r w:rsidRPr="00A60765">
        <w:rPr>
          <w:sz w:val="28"/>
        </w:rPr>
        <w:t xml:space="preserve">недополученных доходов </w:t>
      </w:r>
      <w:r w:rsidRPr="00A60765">
        <w:rPr>
          <w:sz w:val="28"/>
          <w:szCs w:val="28"/>
        </w:rPr>
        <w:t>О</w:t>
      </w:r>
      <w:r w:rsidRPr="00A60765">
        <w:rPr>
          <w:sz w:val="28"/>
        </w:rPr>
        <w:t xml:space="preserve">рганизации в случае установления цен (тарифов) на </w:t>
      </w:r>
      <w:r w:rsidRPr="00A60765">
        <w:rPr>
          <w:sz w:val="28"/>
        </w:rPr>
        <w:lastRenderedPageBreak/>
        <w:t xml:space="preserve">услуги по передаче электрической энергии по электрическим сетям, принадлежащим на праве собственности или ином законном основании территориальным сетевым организациям, ниже экономически обоснованного уровня, рассчитанного в соответствии с предусмотренным настоящим </w:t>
      </w:r>
      <w:r w:rsidR="00CE6856" w:rsidRPr="00A60765">
        <w:rPr>
          <w:sz w:val="28"/>
        </w:rPr>
        <w:t>С</w:t>
      </w:r>
      <w:r w:rsidRPr="00A60765">
        <w:rPr>
          <w:sz w:val="28"/>
        </w:rPr>
        <w:t>оглашением порядком индексации этих цен (тарифов)</w:t>
      </w:r>
      <w:r w:rsidR="00121D7F" w:rsidRPr="00A60765">
        <w:rPr>
          <w:sz w:val="28"/>
        </w:rPr>
        <w:t>,</w:t>
      </w:r>
      <w:r w:rsidR="0039531A" w:rsidRPr="00A60765">
        <w:rPr>
          <w:sz w:val="28"/>
        </w:rPr>
        <w:t xml:space="preserve"> в по</w:t>
      </w:r>
      <w:r w:rsidR="00BD471D" w:rsidRPr="00A60765">
        <w:rPr>
          <w:sz w:val="28"/>
        </w:rPr>
        <w:t>рядке, установленном Бюджетным к</w:t>
      </w:r>
      <w:r w:rsidR="0039531A" w:rsidRPr="00A60765">
        <w:rPr>
          <w:sz w:val="28"/>
        </w:rPr>
        <w:t>одексом Российской Федерации</w:t>
      </w:r>
      <w:r w:rsidR="00F06B49" w:rsidRPr="00A60765">
        <w:rPr>
          <w:sz w:val="28"/>
        </w:rPr>
        <w:t>.</w:t>
      </w:r>
    </w:p>
    <w:p w:rsidR="00621CDA" w:rsidRPr="00A60765" w:rsidRDefault="00621CDA" w:rsidP="00621CDA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60765">
        <w:rPr>
          <w:rFonts w:ascii="Times New Roman" w:hAnsi="Times New Roman" w:cs="Times New Roman"/>
          <w:sz w:val="28"/>
          <w:szCs w:val="24"/>
        </w:rPr>
        <w:t>Оценка достижения роста единых (котловых) тарифов в целях определения их соответствия условиям настоящего Соглашения осуществляется исходя из средневзвешенного роста тарифов по уровням напряжения.</w:t>
      </w:r>
    </w:p>
    <w:p w:rsidR="00621CDA" w:rsidRPr="00A60765" w:rsidRDefault="00621CDA" w:rsidP="00621CDA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60765">
        <w:rPr>
          <w:rFonts w:ascii="Times New Roman" w:hAnsi="Times New Roman" w:cs="Times New Roman"/>
          <w:sz w:val="28"/>
          <w:szCs w:val="24"/>
        </w:rPr>
        <w:t>При этом расчет указанных недополученных доходов осуществляется исходя из разницы между плановой выручкой при индексации единых (котловых) тарифов в соответствии с условиями, определенными настоящим Соглашением, и плановой выручкой при индексации единых (котловых) тарифов, произведенной Регулирующим органом в рамках тарифного регулирования на соотв</w:t>
      </w:r>
      <w:r w:rsidR="009E08F7" w:rsidRPr="00A60765">
        <w:rPr>
          <w:rFonts w:ascii="Times New Roman" w:hAnsi="Times New Roman" w:cs="Times New Roman"/>
          <w:sz w:val="28"/>
          <w:szCs w:val="24"/>
        </w:rPr>
        <w:t>етствующий период регулирования;</w:t>
      </w:r>
    </w:p>
    <w:p w:rsidR="000F7A8A" w:rsidRPr="00A60765" w:rsidRDefault="00B05909" w:rsidP="0039531A">
      <w:pPr>
        <w:pStyle w:val="ConsPlusNormal"/>
        <w:ind w:firstLine="709"/>
        <w:jc w:val="both"/>
        <w:rPr>
          <w:sz w:val="28"/>
        </w:rPr>
      </w:pPr>
      <w:r w:rsidRPr="00A60765">
        <w:rPr>
          <w:sz w:val="28"/>
        </w:rPr>
        <w:t xml:space="preserve">г) определение единых (котловых) тарифов на услуги по передаче электрической энергии (мощности) на территории </w:t>
      </w:r>
      <w:r w:rsidR="00A34175" w:rsidRPr="00A60765">
        <w:rPr>
          <w:sz w:val="28"/>
        </w:rPr>
        <w:t>Пензенской области</w:t>
      </w:r>
      <w:r w:rsidRPr="00A60765">
        <w:rPr>
          <w:i/>
          <w:sz w:val="28"/>
        </w:rPr>
        <w:t xml:space="preserve"> </w:t>
      </w:r>
      <w:r w:rsidRPr="00A60765">
        <w:rPr>
          <w:sz w:val="28"/>
        </w:rPr>
        <w:t>путем их индексации в соответствии с требованиями Методических указаний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потребителей, утвержденных Приказ</w:t>
      </w:r>
      <w:r w:rsidR="00C56647" w:rsidRPr="00A60765">
        <w:rPr>
          <w:sz w:val="28"/>
        </w:rPr>
        <w:t>ом</w:t>
      </w:r>
      <w:r w:rsidRPr="00A60765">
        <w:rPr>
          <w:sz w:val="28"/>
        </w:rPr>
        <w:t xml:space="preserve"> ФАС России от 27.05.2022 № 412/22.</w:t>
      </w:r>
    </w:p>
    <w:p w:rsidR="002F5F85" w:rsidRPr="00A60765" w:rsidRDefault="00B05909" w:rsidP="00D47F83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 w:rsidRPr="00A60765">
        <w:rPr>
          <w:rFonts w:ascii="Times New Roman" w:hAnsi="Times New Roman" w:cs="Times New Roman"/>
          <w:sz w:val="28"/>
          <w:szCs w:val="24"/>
        </w:rPr>
        <w:t xml:space="preserve">При индексации единых (котловых) тарифов на услуги по передаче электрической энергии (мощности), поставляемой прочим потребителям, </w:t>
      </w:r>
      <w:r w:rsidRPr="00A60765">
        <w:rPr>
          <w:rFonts w:ascii="Times New Roman" w:hAnsi="Times New Roman"/>
          <w:sz w:val="28"/>
        </w:rPr>
        <w:t>должны соблюдаться следующие неравенства:</w:t>
      </w:r>
    </w:p>
    <w:p w:rsidR="002F5F85" w:rsidRPr="00A60765" w:rsidRDefault="00A60765">
      <w:pPr>
        <w:pStyle w:val="ConsPlusNonformat"/>
        <w:tabs>
          <w:tab w:val="left" w:pos="993"/>
        </w:tabs>
        <w:jc w:val="center"/>
        <w:rPr>
          <w:rFonts w:ascii="Times New Roman" w:hAnsi="Times New Roman"/>
          <w:sz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lang w:val="en-US"/>
              </w:rPr>
              <m:t>k</m:t>
            </m:r>
          </m:sub>
          <m:sup>
            <m:r>
              <w:rPr>
                <w:rFonts w:ascii="Cambria Math" w:hAnsi="Cambria Math"/>
                <w:sz w:val="28"/>
              </w:rPr>
              <m:t>сод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i</m:t>
                </m:r>
              </m:e>
            </m:d>
            <m:r>
              <w:rPr>
                <w:rFonts w:ascii="Cambria Math" w:hAnsi="Cambria Math"/>
                <w:sz w:val="28"/>
              </w:rPr>
              <m:t>, 1 пол</m:t>
            </m:r>
          </m:sup>
        </m:sSubSup>
        <m:r>
          <w:rPr>
            <w:rFonts w:ascii="Cambria Math" w:hAnsi="Cambria Math"/>
            <w:sz w:val="28"/>
          </w:rPr>
          <m:t>≥</m:t>
        </m:r>
        <m:sSubSup>
          <m:sSubSupPr>
            <m:ctrlPr>
              <w:rPr>
                <w:rFonts w:ascii="Cambria Math" w:hAnsi="Cambria Math"/>
                <w:i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lang w:val="en-US"/>
              </w:rPr>
              <m:t>k</m:t>
            </m:r>
          </m:sub>
          <m:sup>
            <m:r>
              <w:rPr>
                <w:rFonts w:ascii="Cambria Math" w:hAnsi="Cambria Math"/>
                <w:sz w:val="28"/>
              </w:rPr>
              <m:t>сод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i-1</m:t>
                </m:r>
              </m:e>
            </m:d>
            <m:r>
              <w:rPr>
                <w:rFonts w:ascii="Cambria Math" w:hAnsi="Cambria Math"/>
                <w:sz w:val="28"/>
              </w:rPr>
              <m:t>,2 пол</m:t>
            </m:r>
          </m:sup>
        </m:sSubSup>
      </m:oMath>
      <w:r w:rsidR="00507CF4" w:rsidRPr="00A60765">
        <w:rPr>
          <w:rFonts w:ascii="Times New Roman" w:hAnsi="Times New Roman"/>
          <w:sz w:val="28"/>
        </w:rPr>
        <w:t>,</w:t>
      </w:r>
    </w:p>
    <w:p w:rsidR="002F5F85" w:rsidRPr="00A60765" w:rsidRDefault="00A60765">
      <w:pPr>
        <w:pStyle w:val="ConsPlusNonformat"/>
        <w:tabs>
          <w:tab w:val="left" w:pos="993"/>
        </w:tabs>
        <w:jc w:val="center"/>
        <w:rPr>
          <w:rFonts w:ascii="Times New Roman" w:hAnsi="Times New Roman"/>
          <w:sz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lang w:val="en-US"/>
              </w:rPr>
              <m:t>k</m:t>
            </m:r>
          </m:sub>
          <m:sup>
            <m:r>
              <w:rPr>
                <w:rFonts w:ascii="Cambria Math" w:hAnsi="Cambria Math"/>
                <w:sz w:val="28"/>
              </w:rPr>
              <m:t>пот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i</m:t>
                </m:r>
              </m:e>
            </m:d>
            <m:r>
              <w:rPr>
                <w:rFonts w:ascii="Cambria Math" w:hAnsi="Cambria Math"/>
                <w:sz w:val="28"/>
              </w:rPr>
              <m:t>, 1 пол</m:t>
            </m:r>
          </m:sup>
        </m:sSubSup>
        <m:r>
          <w:rPr>
            <w:rFonts w:ascii="Cambria Math" w:hAnsi="Cambria Math"/>
            <w:sz w:val="28"/>
          </w:rPr>
          <m:t>≥</m:t>
        </m:r>
        <m:sSubSup>
          <m:sSubSupPr>
            <m:ctrlPr>
              <w:rPr>
                <w:rFonts w:ascii="Cambria Math" w:hAnsi="Cambria Math"/>
                <w:i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lang w:val="en-US"/>
              </w:rPr>
              <m:t>k</m:t>
            </m:r>
          </m:sub>
          <m:sup>
            <m:r>
              <w:rPr>
                <w:rFonts w:ascii="Cambria Math" w:hAnsi="Cambria Math"/>
                <w:sz w:val="28"/>
              </w:rPr>
              <m:t>пот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i-1</m:t>
                </m:r>
              </m:e>
            </m:d>
            <m:r>
              <w:rPr>
                <w:rFonts w:ascii="Cambria Math" w:hAnsi="Cambria Math"/>
                <w:sz w:val="28"/>
              </w:rPr>
              <m:t>,2 пол</m:t>
            </m:r>
          </m:sup>
        </m:sSubSup>
      </m:oMath>
      <w:r w:rsidR="00507CF4" w:rsidRPr="00A60765">
        <w:rPr>
          <w:rFonts w:ascii="Times New Roman" w:hAnsi="Times New Roman"/>
          <w:sz w:val="28"/>
        </w:rPr>
        <w:t>,</w:t>
      </w:r>
    </w:p>
    <w:p w:rsidR="002F5F85" w:rsidRPr="00A60765" w:rsidRDefault="00A60765">
      <w:pPr>
        <w:pStyle w:val="ConsPlusNonformat"/>
        <w:tabs>
          <w:tab w:val="left" w:pos="993"/>
        </w:tabs>
        <w:jc w:val="center"/>
        <w:rPr>
          <w:rFonts w:ascii="Times New Roman" w:hAnsi="Times New Roman"/>
          <w:sz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lang w:val="en-US"/>
              </w:rPr>
              <m:t>k</m:t>
            </m:r>
          </m:sub>
          <m:sup>
            <m:r>
              <w:rPr>
                <w:rFonts w:ascii="Cambria Math" w:hAnsi="Cambria Math"/>
                <w:sz w:val="28"/>
              </w:rPr>
              <m:t>одн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i</m:t>
                </m:r>
              </m:e>
            </m:d>
            <m:r>
              <w:rPr>
                <w:rFonts w:ascii="Cambria Math" w:hAnsi="Cambria Math"/>
                <w:sz w:val="28"/>
              </w:rPr>
              <m:t>, 1 пол</m:t>
            </m:r>
          </m:sup>
        </m:sSubSup>
        <m:r>
          <w:rPr>
            <w:rFonts w:ascii="Cambria Math" w:hAnsi="Cambria Math"/>
            <w:sz w:val="28"/>
          </w:rPr>
          <m:t>≥</m:t>
        </m:r>
        <m:sSubSup>
          <m:sSubSupPr>
            <m:ctrlPr>
              <w:rPr>
                <w:rFonts w:ascii="Cambria Math" w:hAnsi="Cambria Math"/>
                <w:i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lang w:val="en-US"/>
              </w:rPr>
              <m:t>k</m:t>
            </m:r>
          </m:sub>
          <m:sup>
            <m:r>
              <w:rPr>
                <w:rFonts w:ascii="Cambria Math" w:hAnsi="Cambria Math"/>
                <w:sz w:val="28"/>
              </w:rPr>
              <m:t>одн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i-1</m:t>
                </m:r>
              </m:e>
            </m:d>
            <m:r>
              <w:rPr>
                <w:rFonts w:ascii="Cambria Math" w:hAnsi="Cambria Math"/>
                <w:sz w:val="28"/>
              </w:rPr>
              <m:t>,2 пол</m:t>
            </m:r>
          </m:sup>
        </m:sSubSup>
      </m:oMath>
      <w:r w:rsidR="00507CF4" w:rsidRPr="00A60765">
        <w:rPr>
          <w:rFonts w:ascii="Times New Roman" w:hAnsi="Times New Roman"/>
          <w:sz w:val="28"/>
        </w:rPr>
        <w:t>,</w:t>
      </w:r>
    </w:p>
    <w:p w:rsidR="002F5F85" w:rsidRPr="00A60765" w:rsidRDefault="00A60765">
      <w:pPr>
        <w:pStyle w:val="ConsPlusNonformat"/>
        <w:tabs>
          <w:tab w:val="left" w:pos="993"/>
        </w:tabs>
        <w:jc w:val="center"/>
        <w:rPr>
          <w:rFonts w:ascii="Times New Roman" w:hAnsi="Times New Roman"/>
          <w:sz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lang w:val="en-US"/>
              </w:rPr>
              <m:t>k</m:t>
            </m:r>
          </m:sub>
          <m:sup>
            <m:r>
              <w:rPr>
                <w:rFonts w:ascii="Cambria Math" w:hAnsi="Cambria Math"/>
                <w:sz w:val="28"/>
              </w:rPr>
              <m:t>сод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i</m:t>
                </m:r>
              </m:e>
            </m:d>
            <m:r>
              <w:rPr>
                <w:rFonts w:ascii="Cambria Math" w:hAnsi="Cambria Math"/>
                <w:sz w:val="28"/>
              </w:rPr>
              <m:t>, 2 пол</m:t>
            </m:r>
          </m:sup>
        </m:sSubSup>
        <m:r>
          <w:rPr>
            <w:rFonts w:ascii="Cambria Math" w:hAnsi="Cambria Math"/>
            <w:sz w:val="28"/>
          </w:rPr>
          <m:t>≥</m:t>
        </m:r>
        <m:sSubSup>
          <m:sSubSupPr>
            <m:ctrlPr>
              <w:rPr>
                <w:rFonts w:ascii="Cambria Math" w:hAnsi="Cambria Math"/>
                <w:i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lang w:val="en-US"/>
              </w:rPr>
              <m:t>k</m:t>
            </m:r>
          </m:sub>
          <m:sup>
            <m:r>
              <w:rPr>
                <w:rFonts w:ascii="Cambria Math" w:hAnsi="Cambria Math"/>
                <w:sz w:val="28"/>
              </w:rPr>
              <m:t>сод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i</m:t>
                </m:r>
              </m:e>
            </m:d>
            <m:r>
              <w:rPr>
                <w:rFonts w:ascii="Cambria Math" w:hAnsi="Cambria Math"/>
                <w:sz w:val="28"/>
              </w:rPr>
              <m:t>,1 пол</m:t>
            </m:r>
          </m:sup>
        </m:sSubSup>
        <m:r>
          <w:rPr>
            <w:rFonts w:ascii="Cambria Math" w:hAnsi="Cambria Math"/>
            <w:sz w:val="28"/>
          </w:rPr>
          <m:t>×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</w:rPr>
                  <m:t>1+СЭП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пер</m:t>
                </m:r>
              </m:sub>
              <m:sup>
                <m:r>
                  <w:rPr>
                    <w:rFonts w:ascii="Cambria Math" w:hAnsi="Cambria Math"/>
                    <w:sz w:val="28"/>
                  </w:rPr>
                  <m:t>прочие(</m:t>
                </m:r>
                <m:r>
                  <w:rPr>
                    <w:rFonts w:ascii="Cambria Math" w:hAnsi="Cambria Math"/>
                    <w:sz w:val="28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8"/>
                  </w:rPr>
                  <m:t>)</m:t>
                </m:r>
              </m:sup>
            </m:sSubSup>
            <m:r>
              <w:rPr>
                <w:rFonts w:ascii="Cambria Math" w:hAnsi="Cambria Math"/>
                <w:sz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ДР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сод(</m:t>
                </m:r>
                <m:r>
                  <w:rPr>
                    <w:rFonts w:ascii="Cambria Math" w:hAnsi="Cambria Math"/>
                    <w:sz w:val="28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8"/>
                  </w:rPr>
                  <m:t>)</m:t>
                </m:r>
              </m:sup>
            </m:sSup>
          </m:e>
        </m:d>
      </m:oMath>
      <w:r w:rsidR="00507CF4" w:rsidRPr="00A60765">
        <w:rPr>
          <w:rFonts w:ascii="Times New Roman" w:hAnsi="Times New Roman"/>
          <w:sz w:val="28"/>
        </w:rPr>
        <w:t>,</w:t>
      </w:r>
    </w:p>
    <w:p w:rsidR="002F5F85" w:rsidRPr="00A60765" w:rsidRDefault="00A60765">
      <w:pPr>
        <w:pStyle w:val="ConsPlusNonformat"/>
        <w:tabs>
          <w:tab w:val="left" w:pos="993"/>
        </w:tabs>
        <w:jc w:val="center"/>
        <w:rPr>
          <w:rFonts w:ascii="Times New Roman" w:hAnsi="Times New Roman"/>
          <w:sz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lang w:val="en-US"/>
              </w:rPr>
              <m:t>k</m:t>
            </m:r>
          </m:sub>
          <m:sup>
            <m:r>
              <w:rPr>
                <w:rFonts w:ascii="Cambria Math" w:hAnsi="Cambria Math"/>
                <w:sz w:val="28"/>
              </w:rPr>
              <m:t>пот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i</m:t>
                </m:r>
              </m:e>
            </m:d>
            <m:r>
              <w:rPr>
                <w:rFonts w:ascii="Cambria Math" w:hAnsi="Cambria Math"/>
                <w:sz w:val="28"/>
              </w:rPr>
              <m:t>, 2 пол</m:t>
            </m:r>
          </m:sup>
        </m:sSubSup>
        <m:r>
          <w:rPr>
            <w:rFonts w:ascii="Cambria Math" w:hAnsi="Cambria Math"/>
            <w:sz w:val="28"/>
          </w:rPr>
          <m:t>≥</m:t>
        </m:r>
        <m:sSubSup>
          <m:sSubSupPr>
            <m:ctrlPr>
              <w:rPr>
                <w:rFonts w:ascii="Cambria Math" w:hAnsi="Cambria Math"/>
                <w:i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lang w:val="en-US"/>
              </w:rPr>
              <m:t>k</m:t>
            </m:r>
          </m:sub>
          <m:sup>
            <m:r>
              <w:rPr>
                <w:rFonts w:ascii="Cambria Math" w:hAnsi="Cambria Math"/>
                <w:sz w:val="28"/>
              </w:rPr>
              <m:t>пот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i</m:t>
                </m:r>
              </m:e>
            </m:d>
            <m:r>
              <w:rPr>
                <w:rFonts w:ascii="Cambria Math" w:hAnsi="Cambria Math"/>
                <w:sz w:val="28"/>
              </w:rPr>
              <m:t>,1 пол</m:t>
            </m:r>
          </m:sup>
        </m:sSubSup>
        <m:r>
          <w:rPr>
            <w:rFonts w:ascii="Cambria Math" w:hAnsi="Cambria Math"/>
            <w:sz w:val="28"/>
          </w:rPr>
          <m:t>×</m:t>
        </m:r>
        <m:d>
          <m:d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Cambria Math"/>
                    <w:sz w:val="28"/>
                    <w:szCs w:val="28"/>
                  </w:rPr>
                  <m:t>1+СЭП</m:t>
                </m:r>
              </m:e>
              <m:sub>
                <m:r>
                  <w:rPr>
                    <w:rFonts w:ascii="Cambria Math" w:hAnsi="Cambria Math" w:cs="Cambria Math"/>
                    <w:sz w:val="28"/>
                    <w:szCs w:val="28"/>
                  </w:rPr>
                  <m:t>пер</m:t>
                </m:r>
              </m:sub>
              <m:sup>
                <m:r>
                  <w:rPr>
                    <w:rFonts w:ascii="Cambria Math" w:hAnsi="Cambria Math" w:cs="Cambria Math"/>
                    <w:sz w:val="28"/>
                    <w:szCs w:val="28"/>
                  </w:rPr>
                  <m:t>прочие</m:t>
                </m:r>
                <m:r>
                  <w:rPr>
                    <w:rFonts w:ascii="Cambria Math" w:hAnsi="Cambria Math"/>
                    <w:sz w:val="28"/>
                  </w:rPr>
                  <m:t>(</m:t>
                </m:r>
                <m:r>
                  <w:rPr>
                    <w:rFonts w:ascii="Cambria Math" w:hAnsi="Cambria Math"/>
                    <w:sz w:val="28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8"/>
                  </w:rPr>
                  <m:t>)</m:t>
                </m:r>
                <m:ctrlPr>
                  <w:rPr>
                    <w:rFonts w:ascii="Cambria Math" w:hAnsi="Cambria Math"/>
                    <w:i/>
                    <w:sz w:val="28"/>
                  </w:rPr>
                </m:ctrlPr>
              </m:sup>
            </m:sSubSup>
            <m:ctrlPr>
              <w:rPr>
                <w:rFonts w:ascii="Cambria Math" w:hAnsi="Cambria Math"/>
                <w:i/>
                <w:sz w:val="28"/>
              </w:rPr>
            </m:ctrlPr>
          </m:e>
        </m:d>
      </m:oMath>
      <w:r w:rsidR="00507CF4" w:rsidRPr="00A60765">
        <w:rPr>
          <w:rFonts w:ascii="Times New Roman" w:hAnsi="Times New Roman"/>
          <w:sz w:val="28"/>
        </w:rPr>
        <w:t>,</w:t>
      </w:r>
    </w:p>
    <w:p w:rsidR="002F5F85" w:rsidRPr="00A60765" w:rsidRDefault="00B05909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A60765">
        <w:rPr>
          <w:rFonts w:ascii="Times New Roman" w:hAnsi="Times New Roman"/>
          <w:sz w:val="28"/>
        </w:rPr>
        <w:t xml:space="preserve">где: </w:t>
      </w:r>
    </w:p>
    <w:p w:rsidR="002F5F85" w:rsidRPr="00A60765" w:rsidRDefault="00A60765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lang w:val="en-US"/>
              </w:rPr>
              <m:t>k</m:t>
            </m:r>
          </m:sub>
          <m:sup>
            <m:r>
              <w:rPr>
                <w:rFonts w:ascii="Cambria Math" w:hAnsi="Cambria Math"/>
                <w:sz w:val="28"/>
              </w:rPr>
              <m:t>сод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i</m:t>
                </m:r>
              </m:e>
            </m:d>
            <m:r>
              <w:rPr>
                <w:rFonts w:ascii="Cambria Math" w:hAnsi="Cambria Math"/>
                <w:sz w:val="28"/>
              </w:rPr>
              <m:t>, 1 пол</m:t>
            </m:r>
          </m:sup>
        </m:sSubSup>
      </m:oMath>
      <w:r w:rsidR="00507CF4" w:rsidRPr="00A60765">
        <w:rPr>
          <w:rFonts w:ascii="Times New Roman" w:hAnsi="Times New Roman"/>
          <w:sz w:val="28"/>
        </w:rPr>
        <w:t>– ставки на содержание электрических сетей единого (котлового) тарифа на услуги по передаче электрической энергии (мощности) на k-м уровне напряжения в первом полугодии i-</w:t>
      </w:r>
      <w:proofErr w:type="spellStart"/>
      <w:r w:rsidR="00507CF4" w:rsidRPr="00A60765">
        <w:rPr>
          <w:rFonts w:ascii="Times New Roman" w:hAnsi="Times New Roman"/>
          <w:sz w:val="28"/>
        </w:rPr>
        <w:t>го</w:t>
      </w:r>
      <w:proofErr w:type="spellEnd"/>
      <w:r w:rsidR="00507CF4" w:rsidRPr="00A60765">
        <w:rPr>
          <w:rFonts w:ascii="Times New Roman" w:hAnsi="Times New Roman"/>
          <w:sz w:val="28"/>
        </w:rPr>
        <w:t xml:space="preserve"> периода регулирования, руб./МВт в месяц;</w:t>
      </w:r>
    </w:p>
    <w:p w:rsidR="002F5F85" w:rsidRPr="00A60765" w:rsidRDefault="00A60765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lang w:val="en-US"/>
              </w:rPr>
              <m:t>k</m:t>
            </m:r>
          </m:sub>
          <m:sup>
            <m:r>
              <w:rPr>
                <w:rFonts w:ascii="Cambria Math" w:hAnsi="Cambria Math"/>
                <w:sz w:val="28"/>
              </w:rPr>
              <m:t>сод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i-1</m:t>
                </m:r>
              </m:e>
            </m:d>
            <m:r>
              <w:rPr>
                <w:rFonts w:ascii="Cambria Math" w:hAnsi="Cambria Math"/>
                <w:sz w:val="28"/>
              </w:rPr>
              <m:t>,2 пол</m:t>
            </m:r>
          </m:sup>
        </m:sSubSup>
      </m:oMath>
      <w:r w:rsidR="00507CF4" w:rsidRPr="00A60765">
        <w:rPr>
          <w:rFonts w:ascii="Times New Roman" w:hAnsi="Times New Roman"/>
          <w:sz w:val="28"/>
        </w:rPr>
        <w:t>– ставки на содержание электрических сетей единого (котлового) тарифа на услуги по передаче электрической энергии (мощности) на k-м уровне напряжения во втором полугодии (i-1)-го периода регулирования, руб./МВт в месяц;</w:t>
      </w:r>
    </w:p>
    <w:p w:rsidR="002F5F85" w:rsidRPr="00A60765" w:rsidRDefault="00A60765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lang w:val="en-US"/>
              </w:rPr>
              <m:t>k</m:t>
            </m:r>
          </m:sub>
          <m:sup>
            <m:r>
              <w:rPr>
                <w:rFonts w:ascii="Cambria Math" w:hAnsi="Cambria Math"/>
                <w:sz w:val="28"/>
              </w:rPr>
              <m:t>пот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i</m:t>
                </m:r>
              </m:e>
            </m:d>
            <m:r>
              <w:rPr>
                <w:rFonts w:ascii="Cambria Math" w:hAnsi="Cambria Math"/>
                <w:sz w:val="28"/>
              </w:rPr>
              <m:t>, 1 пол</m:t>
            </m:r>
          </m:sup>
        </m:sSubSup>
      </m:oMath>
      <w:r w:rsidR="00507CF4" w:rsidRPr="00A60765">
        <w:rPr>
          <w:rFonts w:ascii="Times New Roman" w:hAnsi="Times New Roman"/>
          <w:sz w:val="28"/>
        </w:rPr>
        <w:t xml:space="preserve"> - ставки на оплату технологического расхода (потерь) электрической энергии единого (котлового) тарифа на услуги по передаче электрической энергии (мощности) на k-м уровне напряжения в первом полугодии i-</w:t>
      </w:r>
      <w:proofErr w:type="spellStart"/>
      <w:r w:rsidR="00507CF4" w:rsidRPr="00A60765">
        <w:rPr>
          <w:rFonts w:ascii="Times New Roman" w:hAnsi="Times New Roman"/>
          <w:sz w:val="28"/>
        </w:rPr>
        <w:t>го</w:t>
      </w:r>
      <w:proofErr w:type="spellEnd"/>
      <w:r w:rsidR="00507CF4" w:rsidRPr="00A60765">
        <w:rPr>
          <w:rFonts w:ascii="Times New Roman" w:hAnsi="Times New Roman"/>
          <w:sz w:val="28"/>
        </w:rPr>
        <w:t xml:space="preserve"> периода регулирования, руб./МВт*ч;</w:t>
      </w:r>
    </w:p>
    <w:p w:rsidR="002F5F85" w:rsidRPr="00A60765" w:rsidRDefault="00A60765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lang w:val="en-US"/>
              </w:rPr>
              <m:t>k</m:t>
            </m:r>
          </m:sub>
          <m:sup>
            <m:r>
              <w:rPr>
                <w:rFonts w:ascii="Cambria Math" w:hAnsi="Cambria Math"/>
                <w:sz w:val="28"/>
              </w:rPr>
              <m:t>пот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i-1</m:t>
                </m:r>
              </m:e>
            </m:d>
            <m:r>
              <w:rPr>
                <w:rFonts w:ascii="Cambria Math" w:hAnsi="Cambria Math"/>
                <w:sz w:val="28"/>
              </w:rPr>
              <m:t>,2 пол</m:t>
            </m:r>
          </m:sup>
        </m:sSubSup>
      </m:oMath>
      <w:r w:rsidR="00507CF4" w:rsidRPr="00A60765">
        <w:rPr>
          <w:rFonts w:ascii="Times New Roman" w:hAnsi="Times New Roman"/>
          <w:sz w:val="28"/>
        </w:rPr>
        <w:t xml:space="preserve"> – ставки на оплату технологического расхода (потерь) электрической энергии единого (котлового) тарифа на услуги по передаче электрической энергии (мощности) на k-м уровне напряжения во втором полугодии (i-1)-го периода регулирования, руб./МВт*ч;</w:t>
      </w:r>
    </w:p>
    <w:p w:rsidR="002F5F85" w:rsidRPr="00A60765" w:rsidRDefault="00A60765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lang w:val="en-US"/>
              </w:rPr>
              <m:t>k</m:t>
            </m:r>
          </m:sub>
          <m:sup>
            <m:r>
              <w:rPr>
                <w:rFonts w:ascii="Cambria Math" w:hAnsi="Cambria Math"/>
                <w:sz w:val="28"/>
              </w:rPr>
              <m:t>одн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i</m:t>
                </m:r>
              </m:e>
            </m:d>
            <m:r>
              <w:rPr>
                <w:rFonts w:ascii="Cambria Math" w:hAnsi="Cambria Math"/>
                <w:sz w:val="28"/>
              </w:rPr>
              <m:t>, 1 пол</m:t>
            </m:r>
          </m:sup>
        </m:sSubSup>
      </m:oMath>
      <w:r w:rsidR="00507CF4" w:rsidRPr="00A60765">
        <w:rPr>
          <w:rFonts w:ascii="Times New Roman" w:hAnsi="Times New Roman"/>
          <w:sz w:val="28"/>
        </w:rPr>
        <w:t xml:space="preserve"> – ставки одноставочного единого (котлового) тарифа на услуги по передаче электрической энергии (мощности) на k-м уровне напряжения в первом полугодии i-го периода регулирования, руб./МВт*ч;</w:t>
      </w:r>
    </w:p>
    <w:p w:rsidR="002F5F85" w:rsidRPr="00A60765" w:rsidRDefault="00A60765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lang w:val="en-US"/>
              </w:rPr>
              <m:t>k</m:t>
            </m:r>
          </m:sub>
          <m:sup>
            <m:r>
              <w:rPr>
                <w:rFonts w:ascii="Cambria Math" w:hAnsi="Cambria Math"/>
                <w:sz w:val="28"/>
              </w:rPr>
              <m:t>одн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i-1</m:t>
                </m:r>
              </m:e>
            </m:d>
            <m:r>
              <w:rPr>
                <w:rFonts w:ascii="Cambria Math" w:hAnsi="Cambria Math"/>
                <w:sz w:val="28"/>
              </w:rPr>
              <m:t>,2 пол</m:t>
            </m:r>
          </m:sup>
        </m:sSubSup>
      </m:oMath>
      <w:r w:rsidR="00507CF4" w:rsidRPr="00A60765">
        <w:rPr>
          <w:rFonts w:ascii="Times New Roman" w:hAnsi="Times New Roman"/>
          <w:sz w:val="28"/>
        </w:rPr>
        <w:t xml:space="preserve"> – ставки одноставочного единого (котлового) тарифа на услуги по передаче электрической энергии (мощности) на k-м уровне напряжения во втором полугодии (i-1)-го периода регулирования, руб./МВт*ч;</w:t>
      </w:r>
    </w:p>
    <w:p w:rsidR="002F5F85" w:rsidRPr="00A60765" w:rsidRDefault="00A60765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lang w:val="en-US"/>
              </w:rPr>
              <m:t>k</m:t>
            </m:r>
          </m:sub>
          <m:sup>
            <m:r>
              <w:rPr>
                <w:rFonts w:ascii="Cambria Math" w:hAnsi="Cambria Math"/>
                <w:sz w:val="28"/>
              </w:rPr>
              <m:t>сод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i</m:t>
                </m:r>
              </m:e>
            </m:d>
            <m:r>
              <w:rPr>
                <w:rFonts w:ascii="Cambria Math" w:hAnsi="Cambria Math"/>
                <w:sz w:val="28"/>
              </w:rPr>
              <m:t>,2 пол</m:t>
            </m:r>
          </m:sup>
        </m:sSubSup>
      </m:oMath>
      <w:r w:rsidR="00507CF4" w:rsidRPr="00A60765">
        <w:rPr>
          <w:rFonts w:ascii="Times New Roman" w:hAnsi="Times New Roman"/>
          <w:sz w:val="28"/>
        </w:rPr>
        <w:t>– ставки на содержание электрических сетей единого (котлового) тарифа на услуги по передаче электрической энергии (мощности) на k-м уровне напряжения во втором полугодии i-го периода регулирования, руб./МВт в месяц;</w:t>
      </w:r>
    </w:p>
    <w:p w:rsidR="002F5F85" w:rsidRPr="00A60765" w:rsidRDefault="00A60765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lang w:val="en-US"/>
              </w:rPr>
              <m:t>k</m:t>
            </m:r>
          </m:sub>
          <m:sup>
            <m:r>
              <w:rPr>
                <w:rFonts w:ascii="Cambria Math" w:hAnsi="Cambria Math"/>
                <w:sz w:val="28"/>
              </w:rPr>
              <m:t>пот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i</m:t>
                </m:r>
              </m:e>
            </m:d>
            <m:r>
              <w:rPr>
                <w:rFonts w:ascii="Cambria Math" w:hAnsi="Cambria Math"/>
                <w:sz w:val="28"/>
              </w:rPr>
              <m:t>,2 пол</m:t>
            </m:r>
          </m:sup>
        </m:sSubSup>
      </m:oMath>
      <w:r w:rsidR="00507CF4" w:rsidRPr="00A60765">
        <w:rPr>
          <w:rFonts w:ascii="Times New Roman" w:hAnsi="Times New Roman"/>
          <w:sz w:val="28"/>
        </w:rPr>
        <w:t xml:space="preserve"> – ставки на оплату технологического расхода (потерь) электрической энергии единого (котлового) тарифа на услуги по передаче электрической энергии (мощности) на k-м уровне напряжения во втором полугодии i-</w:t>
      </w:r>
      <w:proofErr w:type="spellStart"/>
      <w:r w:rsidR="00507CF4" w:rsidRPr="00A60765">
        <w:rPr>
          <w:rFonts w:ascii="Times New Roman" w:hAnsi="Times New Roman"/>
          <w:sz w:val="28"/>
        </w:rPr>
        <w:t>го</w:t>
      </w:r>
      <w:proofErr w:type="spellEnd"/>
      <w:r w:rsidR="00507CF4" w:rsidRPr="00A60765">
        <w:rPr>
          <w:rFonts w:ascii="Times New Roman" w:hAnsi="Times New Roman"/>
          <w:sz w:val="28"/>
        </w:rPr>
        <w:t xml:space="preserve"> периода регулирования, руб./МВт*ч;</w:t>
      </w:r>
    </w:p>
    <w:p w:rsidR="002F5F85" w:rsidRPr="00A60765" w:rsidRDefault="00A60765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СЭП</m:t>
            </m:r>
          </m:e>
          <m:sub>
            <m:r>
              <w:rPr>
                <w:rFonts w:ascii="Cambria Math" w:hAnsi="Cambria Math"/>
                <w:sz w:val="28"/>
              </w:rPr>
              <m:t>пер</m:t>
            </m:r>
          </m:sub>
          <m:sup>
            <m:r>
              <w:rPr>
                <w:rFonts w:ascii="Cambria Math" w:hAnsi="Cambria Math"/>
                <w:sz w:val="28"/>
              </w:rPr>
              <m:t>прочие(</m:t>
            </m:r>
            <m:r>
              <w:rPr>
                <w:rFonts w:ascii="Cambria Math" w:hAnsi="Cambria Math"/>
                <w:sz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</w:rPr>
              <m:t>)</m:t>
            </m:r>
          </m:sup>
        </m:sSubSup>
      </m:oMath>
      <w:r w:rsidR="00507CF4" w:rsidRPr="00A60765">
        <w:rPr>
          <w:rFonts w:ascii="Times New Roman" w:hAnsi="Times New Roman"/>
          <w:sz w:val="28"/>
        </w:rPr>
        <w:t xml:space="preserve"> – актуальный на момент принятия тарифного решения на год </w:t>
      </w:r>
      <w:proofErr w:type="spellStart"/>
      <w:r w:rsidR="00507CF4" w:rsidRPr="00A60765">
        <w:rPr>
          <w:rFonts w:ascii="Times New Roman" w:hAnsi="Times New Roman"/>
          <w:sz w:val="28"/>
          <w:lang w:val="en-US"/>
        </w:rPr>
        <w:t>i</w:t>
      </w:r>
      <w:proofErr w:type="spellEnd"/>
      <w:r w:rsidR="00507CF4" w:rsidRPr="00A60765">
        <w:rPr>
          <w:rFonts w:ascii="Times New Roman" w:hAnsi="Times New Roman"/>
          <w:sz w:val="28"/>
        </w:rPr>
        <w:t xml:space="preserve"> прогноз роста единых (котловых) тарифов на услуги по передаче электрической энергии (мощности), поставляемой прочим потребителям, публикуемый Министерством экономического развития Российской Федерации (при отсутствии этого прогноза в отношении прочих потребителей используется индекс потребительских цен), %;</w:t>
      </w:r>
    </w:p>
    <w:p w:rsidR="002F5F85" w:rsidRPr="00A60765" w:rsidRDefault="00A60765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ДР</m:t>
            </m:r>
          </m:e>
          <m:sup>
            <m:r>
              <w:rPr>
                <w:rFonts w:ascii="Cambria Math" w:hAnsi="Cambria Math"/>
                <w:sz w:val="28"/>
              </w:rPr>
              <m:t>сод(</m:t>
            </m:r>
            <m:r>
              <w:rPr>
                <w:rFonts w:ascii="Cambria Math" w:hAnsi="Cambria Math"/>
                <w:sz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</w:rPr>
              <m:t>)</m:t>
            </m:r>
          </m:sup>
        </m:sSup>
      </m:oMath>
      <w:r w:rsidR="00507CF4" w:rsidRPr="00A60765">
        <w:rPr>
          <w:rFonts w:ascii="Times New Roman" w:hAnsi="Times New Roman"/>
          <w:sz w:val="28"/>
        </w:rPr>
        <w:t xml:space="preserve"> – дополнительный рост ставки на содержание электрических сетей единого (котлового) тарифа на услуги по передаче электрической энергии (мощности) на год </w:t>
      </w:r>
      <w:proofErr w:type="spellStart"/>
      <w:r w:rsidR="00507CF4" w:rsidRPr="00A60765">
        <w:rPr>
          <w:rFonts w:ascii="Times New Roman" w:hAnsi="Times New Roman"/>
          <w:sz w:val="28"/>
          <w:lang w:val="en-US"/>
        </w:rPr>
        <w:t>i</w:t>
      </w:r>
      <w:proofErr w:type="spellEnd"/>
      <w:r w:rsidR="00507CF4" w:rsidRPr="00A60765">
        <w:rPr>
          <w:rFonts w:ascii="Times New Roman" w:hAnsi="Times New Roman"/>
          <w:sz w:val="28"/>
        </w:rPr>
        <w:t xml:space="preserve">, предусмотренный настоящим </w:t>
      </w:r>
      <w:r w:rsidR="00FC0DD9" w:rsidRPr="00A60765">
        <w:rPr>
          <w:rFonts w:ascii="Times New Roman" w:hAnsi="Times New Roman"/>
          <w:sz w:val="28"/>
        </w:rPr>
        <w:t>С</w:t>
      </w:r>
      <w:r w:rsidR="00507CF4" w:rsidRPr="00A60765">
        <w:rPr>
          <w:rFonts w:ascii="Times New Roman" w:hAnsi="Times New Roman"/>
          <w:sz w:val="28"/>
        </w:rPr>
        <w:t>оглашением:</w:t>
      </w:r>
    </w:p>
    <w:p w:rsidR="002F5F85" w:rsidRPr="00A60765" w:rsidRDefault="00B05909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 w:rsidRPr="00A60765">
        <w:rPr>
          <w:rFonts w:ascii="Times New Roman" w:hAnsi="Times New Roman"/>
          <w:sz w:val="28"/>
        </w:rPr>
        <w:t xml:space="preserve">2025 год: </w:t>
      </w:r>
      <m:oMath>
        <m:r>
          <w:rPr>
            <w:rFonts w:ascii="Cambria Math" w:hAnsi="Cambria Math"/>
            <w:sz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ДР</m:t>
            </m:r>
          </m:e>
          <m:sup>
            <m:r>
              <w:rPr>
                <w:rFonts w:ascii="Cambria Math" w:hAnsi="Cambria Math"/>
                <w:sz w:val="28"/>
              </w:rPr>
              <m:t>сод(2025)</m:t>
            </m:r>
          </m:sup>
        </m:sSup>
      </m:oMath>
      <w:r w:rsidRPr="00A60765">
        <w:rPr>
          <w:rFonts w:ascii="Times New Roman" w:hAnsi="Times New Roman" w:cs="Times New Roman"/>
          <w:sz w:val="28"/>
          <w:szCs w:val="24"/>
        </w:rPr>
        <w:t>=</w:t>
      </w:r>
      <w:r w:rsidR="009E2607" w:rsidRPr="00A60765">
        <w:rPr>
          <w:rFonts w:ascii="Times New Roman" w:hAnsi="Times New Roman" w:cs="Times New Roman"/>
          <w:sz w:val="28"/>
          <w:szCs w:val="24"/>
        </w:rPr>
        <w:t>+4</w:t>
      </w:r>
      <w:r w:rsidRPr="00A60765">
        <w:rPr>
          <w:rFonts w:ascii="Times New Roman" w:hAnsi="Times New Roman" w:cs="Times New Roman"/>
          <w:sz w:val="28"/>
          <w:szCs w:val="24"/>
        </w:rPr>
        <w:t>,</w:t>
      </w:r>
      <w:r w:rsidR="009E2607" w:rsidRPr="00A60765">
        <w:rPr>
          <w:rFonts w:ascii="Times New Roman" w:hAnsi="Times New Roman" w:cs="Times New Roman"/>
          <w:sz w:val="28"/>
          <w:szCs w:val="24"/>
        </w:rPr>
        <w:t>01</w:t>
      </w:r>
      <w:r w:rsidRPr="00A60765">
        <w:rPr>
          <w:rFonts w:ascii="Times New Roman" w:hAnsi="Times New Roman" w:cs="Times New Roman"/>
          <w:sz w:val="28"/>
          <w:szCs w:val="24"/>
        </w:rPr>
        <w:t>%;</w:t>
      </w:r>
    </w:p>
    <w:p w:rsidR="002F5F85" w:rsidRPr="00A60765" w:rsidRDefault="00B05909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 w:rsidRPr="00A60765">
        <w:rPr>
          <w:rFonts w:ascii="Times New Roman" w:hAnsi="Times New Roman"/>
          <w:sz w:val="28"/>
        </w:rPr>
        <w:t xml:space="preserve">2026 год: </w:t>
      </w:r>
      <m:oMath>
        <m:r>
          <w:rPr>
            <w:rFonts w:ascii="Cambria Math" w:hAnsi="Cambria Math"/>
            <w:sz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ДР</m:t>
            </m:r>
          </m:e>
          <m:sup>
            <m:r>
              <w:rPr>
                <w:rFonts w:ascii="Cambria Math" w:hAnsi="Cambria Math"/>
                <w:sz w:val="28"/>
              </w:rPr>
              <m:t>сод(2026)</m:t>
            </m:r>
          </m:sup>
        </m:sSup>
      </m:oMath>
      <w:r w:rsidRPr="00A60765">
        <w:rPr>
          <w:rFonts w:ascii="Times New Roman" w:hAnsi="Times New Roman" w:cs="Times New Roman"/>
          <w:sz w:val="28"/>
          <w:szCs w:val="24"/>
        </w:rPr>
        <w:t>=</w:t>
      </w:r>
      <w:r w:rsidR="009E2607" w:rsidRPr="00A60765">
        <w:rPr>
          <w:rFonts w:ascii="Times New Roman" w:hAnsi="Times New Roman" w:cs="Times New Roman"/>
          <w:sz w:val="28"/>
          <w:szCs w:val="24"/>
        </w:rPr>
        <w:t>+4,01</w:t>
      </w:r>
      <w:r w:rsidRPr="00A60765">
        <w:rPr>
          <w:rFonts w:ascii="Times New Roman" w:hAnsi="Times New Roman" w:cs="Times New Roman"/>
          <w:sz w:val="28"/>
          <w:szCs w:val="24"/>
        </w:rPr>
        <w:t>%;</w:t>
      </w:r>
    </w:p>
    <w:p w:rsidR="002F5F85" w:rsidRPr="00A60765" w:rsidRDefault="00B05909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 w:rsidRPr="00A60765">
        <w:rPr>
          <w:rFonts w:ascii="Times New Roman" w:hAnsi="Times New Roman"/>
          <w:sz w:val="28"/>
        </w:rPr>
        <w:t xml:space="preserve">2027 год: </w:t>
      </w:r>
      <m:oMath>
        <m:r>
          <w:rPr>
            <w:rFonts w:ascii="Cambria Math" w:hAnsi="Cambria Math"/>
            <w:sz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ДР</m:t>
            </m:r>
          </m:e>
          <m:sup>
            <m:r>
              <w:rPr>
                <w:rFonts w:ascii="Cambria Math" w:hAnsi="Cambria Math"/>
                <w:sz w:val="28"/>
              </w:rPr>
              <m:t>сод(2027)</m:t>
            </m:r>
          </m:sup>
        </m:sSup>
      </m:oMath>
      <w:r w:rsidRPr="00A60765">
        <w:rPr>
          <w:rFonts w:ascii="Times New Roman" w:hAnsi="Times New Roman" w:cs="Times New Roman"/>
          <w:sz w:val="28"/>
          <w:szCs w:val="24"/>
        </w:rPr>
        <w:t>=</w:t>
      </w:r>
      <w:r w:rsidR="009E2607" w:rsidRPr="00A60765">
        <w:rPr>
          <w:rFonts w:ascii="Times New Roman" w:hAnsi="Times New Roman" w:cs="Times New Roman"/>
          <w:sz w:val="28"/>
          <w:szCs w:val="24"/>
        </w:rPr>
        <w:t>+4,01</w:t>
      </w:r>
      <w:r w:rsidRPr="00A60765">
        <w:rPr>
          <w:rFonts w:ascii="Times New Roman" w:hAnsi="Times New Roman" w:cs="Times New Roman"/>
          <w:sz w:val="28"/>
          <w:szCs w:val="24"/>
        </w:rPr>
        <w:t>%;</w:t>
      </w:r>
    </w:p>
    <w:p w:rsidR="002F5F85" w:rsidRPr="00A60765" w:rsidRDefault="00B05909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 w:rsidRPr="00A60765">
        <w:rPr>
          <w:rFonts w:ascii="Times New Roman" w:hAnsi="Times New Roman"/>
          <w:sz w:val="28"/>
        </w:rPr>
        <w:t xml:space="preserve">2028 год: </w:t>
      </w:r>
      <m:oMath>
        <m:r>
          <w:rPr>
            <w:rFonts w:ascii="Cambria Math" w:hAnsi="Cambria Math"/>
            <w:sz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ДР</m:t>
            </m:r>
          </m:e>
          <m:sup>
            <m:r>
              <w:rPr>
                <w:rFonts w:ascii="Cambria Math" w:hAnsi="Cambria Math"/>
                <w:sz w:val="28"/>
              </w:rPr>
              <m:t>сод(2028)</m:t>
            </m:r>
          </m:sup>
        </m:sSup>
      </m:oMath>
      <w:r w:rsidRPr="00A60765">
        <w:rPr>
          <w:rFonts w:ascii="Times New Roman" w:hAnsi="Times New Roman" w:cs="Times New Roman"/>
          <w:sz w:val="28"/>
          <w:szCs w:val="24"/>
        </w:rPr>
        <w:t>=</w:t>
      </w:r>
      <w:r w:rsidR="009E2607" w:rsidRPr="00A60765">
        <w:rPr>
          <w:rFonts w:ascii="Times New Roman" w:hAnsi="Times New Roman" w:cs="Times New Roman"/>
          <w:sz w:val="28"/>
          <w:szCs w:val="24"/>
        </w:rPr>
        <w:t>+4,01</w:t>
      </w:r>
      <w:r w:rsidRPr="00A60765">
        <w:rPr>
          <w:rFonts w:ascii="Times New Roman" w:hAnsi="Times New Roman" w:cs="Times New Roman"/>
          <w:sz w:val="28"/>
          <w:szCs w:val="24"/>
        </w:rPr>
        <w:t>%;</w:t>
      </w:r>
    </w:p>
    <w:p w:rsidR="002F5F85" w:rsidRPr="00A60765" w:rsidRDefault="00B05909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 w:rsidRPr="00A60765">
        <w:rPr>
          <w:rFonts w:ascii="Times New Roman" w:hAnsi="Times New Roman"/>
          <w:sz w:val="28"/>
        </w:rPr>
        <w:t xml:space="preserve">2029 год: </w:t>
      </w:r>
      <m:oMath>
        <m:r>
          <w:rPr>
            <w:rFonts w:ascii="Cambria Math" w:hAnsi="Cambria Math"/>
            <w:sz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ДР</m:t>
            </m:r>
          </m:e>
          <m:sup>
            <m:r>
              <w:rPr>
                <w:rFonts w:ascii="Cambria Math" w:hAnsi="Cambria Math"/>
                <w:sz w:val="28"/>
              </w:rPr>
              <m:t>сод(2029)</m:t>
            </m:r>
          </m:sup>
        </m:sSup>
      </m:oMath>
      <w:r w:rsidRPr="00A60765">
        <w:rPr>
          <w:rFonts w:ascii="Times New Roman" w:hAnsi="Times New Roman" w:cs="Times New Roman"/>
          <w:sz w:val="28"/>
          <w:szCs w:val="24"/>
        </w:rPr>
        <w:t>=</w:t>
      </w:r>
      <w:r w:rsidR="009E2607" w:rsidRPr="00A60765">
        <w:rPr>
          <w:rFonts w:ascii="Times New Roman" w:hAnsi="Times New Roman" w:cs="Times New Roman"/>
          <w:sz w:val="28"/>
          <w:szCs w:val="24"/>
        </w:rPr>
        <w:t>+4,01</w:t>
      </w:r>
      <w:r w:rsidR="009E08F7" w:rsidRPr="00A60765">
        <w:rPr>
          <w:rFonts w:ascii="Times New Roman" w:hAnsi="Times New Roman" w:cs="Times New Roman"/>
          <w:sz w:val="28"/>
          <w:szCs w:val="24"/>
        </w:rPr>
        <w:t>%;</w:t>
      </w:r>
    </w:p>
    <w:p w:rsidR="002F5F85" w:rsidRPr="00A60765" w:rsidRDefault="00A60765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lang w:val="en-US"/>
              </w:rPr>
              <m:t>k</m:t>
            </m:r>
          </m:sub>
          <m:sup>
            <m:r>
              <w:rPr>
                <w:rFonts w:ascii="Cambria Math" w:hAnsi="Cambria Math"/>
                <w:sz w:val="28"/>
              </w:rPr>
              <m:t>пот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i</m:t>
                </m:r>
              </m:e>
            </m:d>
            <m:r>
              <w:rPr>
                <w:rFonts w:ascii="Cambria Math" w:hAnsi="Cambria Math"/>
                <w:sz w:val="28"/>
              </w:rPr>
              <m:t>, 2 пол</m:t>
            </m:r>
          </m:sup>
        </m:sSubSup>
      </m:oMath>
      <w:r w:rsidR="00507CF4" w:rsidRPr="00A60765">
        <w:rPr>
          <w:rFonts w:ascii="Times New Roman" w:hAnsi="Times New Roman"/>
          <w:sz w:val="28"/>
        </w:rPr>
        <w:t>– ставки на оплату технологического расхода (потерь) электрической энергии единого (котлового) тарифа на услуги по передаче электрической энергии (мощности) на k-м уровне напряжения во втором полугодии i-</w:t>
      </w:r>
      <w:proofErr w:type="spellStart"/>
      <w:r w:rsidR="00507CF4" w:rsidRPr="00A60765">
        <w:rPr>
          <w:rFonts w:ascii="Times New Roman" w:hAnsi="Times New Roman"/>
          <w:sz w:val="28"/>
        </w:rPr>
        <w:t>го</w:t>
      </w:r>
      <w:proofErr w:type="spellEnd"/>
      <w:r w:rsidR="00507CF4" w:rsidRPr="00A60765">
        <w:rPr>
          <w:rFonts w:ascii="Times New Roman" w:hAnsi="Times New Roman"/>
          <w:sz w:val="28"/>
        </w:rPr>
        <w:t xml:space="preserve"> периода регулирования, руб./МВт*ч;</w:t>
      </w:r>
    </w:p>
    <w:p w:rsidR="00C33A21" w:rsidRPr="00A60765" w:rsidRDefault="00B05909" w:rsidP="009D531C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A60765">
        <w:rPr>
          <w:rFonts w:ascii="Times New Roman" w:hAnsi="Times New Roman" w:cs="Times New Roman"/>
          <w:sz w:val="28"/>
        </w:rPr>
        <w:t>д) учет в теч</w:t>
      </w:r>
      <w:r w:rsidR="00A34175" w:rsidRPr="00A60765">
        <w:rPr>
          <w:rFonts w:ascii="Times New Roman" w:hAnsi="Times New Roman" w:cs="Times New Roman"/>
          <w:sz w:val="28"/>
        </w:rPr>
        <w:t>ение срока действия настоящего С</w:t>
      </w:r>
      <w:r w:rsidRPr="00A60765">
        <w:rPr>
          <w:rFonts w:ascii="Times New Roman" w:hAnsi="Times New Roman" w:cs="Times New Roman"/>
          <w:sz w:val="28"/>
        </w:rPr>
        <w:t xml:space="preserve">оглашения результатов деятельности </w:t>
      </w:r>
      <w:r w:rsidRPr="00A60765">
        <w:rPr>
          <w:rFonts w:ascii="Times New Roman" w:hAnsi="Times New Roman" w:cs="Times New Roman"/>
          <w:sz w:val="28"/>
          <w:szCs w:val="28"/>
        </w:rPr>
        <w:t>О</w:t>
      </w:r>
      <w:r w:rsidRPr="00A60765">
        <w:rPr>
          <w:rFonts w:ascii="Times New Roman" w:hAnsi="Times New Roman" w:cs="Times New Roman"/>
          <w:sz w:val="28"/>
        </w:rPr>
        <w:t>рганизации до перехода к государственному регулированию цен (тарифов) на услуги по передаче электрическо</w:t>
      </w:r>
      <w:r w:rsidR="00A34175" w:rsidRPr="00A60765">
        <w:rPr>
          <w:rFonts w:ascii="Times New Roman" w:hAnsi="Times New Roman" w:cs="Times New Roman"/>
          <w:sz w:val="28"/>
        </w:rPr>
        <w:t>й энергии на основе настоящего С</w:t>
      </w:r>
      <w:r w:rsidR="009D531C" w:rsidRPr="00A60765">
        <w:rPr>
          <w:rFonts w:ascii="Times New Roman" w:hAnsi="Times New Roman" w:cs="Times New Roman"/>
          <w:sz w:val="28"/>
        </w:rPr>
        <w:t>оглашения, исходя из о</w:t>
      </w:r>
      <w:r w:rsidRPr="00A60765">
        <w:rPr>
          <w:rFonts w:ascii="Times New Roman" w:hAnsi="Times New Roman" w:cs="Times New Roman"/>
          <w:sz w:val="28"/>
        </w:rPr>
        <w:t>бъем</w:t>
      </w:r>
      <w:r w:rsidR="009D531C" w:rsidRPr="00A60765">
        <w:rPr>
          <w:rFonts w:ascii="Times New Roman" w:hAnsi="Times New Roman" w:cs="Times New Roman"/>
          <w:sz w:val="28"/>
        </w:rPr>
        <w:t>а</w:t>
      </w:r>
      <w:r w:rsidRPr="00A60765">
        <w:rPr>
          <w:rFonts w:ascii="Times New Roman" w:hAnsi="Times New Roman" w:cs="Times New Roman"/>
          <w:sz w:val="28"/>
        </w:rPr>
        <w:t xml:space="preserve"> экономически обоснованных расходов Организации, не учтенных Регулирующим органом в целях сглаживания изменения тарифов в предыдущие долгосрочные периоды регулирования, </w:t>
      </w:r>
      <w:r w:rsidR="009D531C" w:rsidRPr="00A60765">
        <w:rPr>
          <w:rFonts w:ascii="Times New Roman" w:hAnsi="Times New Roman" w:cs="Times New Roman"/>
          <w:sz w:val="28"/>
        </w:rPr>
        <w:t>в размере</w:t>
      </w:r>
      <w:r w:rsidR="0070000F" w:rsidRPr="00A60765">
        <w:rPr>
          <w:rFonts w:ascii="Times New Roman" w:hAnsi="Times New Roman"/>
          <w:sz w:val="28"/>
        </w:rPr>
        <w:t xml:space="preserve"> </w:t>
      </w:r>
      <w:r w:rsidR="0070000F" w:rsidRPr="00A60765">
        <w:rPr>
          <w:rFonts w:ascii="Times New Roman" w:hAnsi="Times New Roman" w:cs="Times New Roman"/>
          <w:sz w:val="28"/>
        </w:rPr>
        <w:t>2 331 694,63</w:t>
      </w:r>
      <w:r w:rsidR="0070000F" w:rsidRPr="00A60765">
        <w:rPr>
          <w:rFonts w:ascii="Times New Roman" w:hAnsi="Times New Roman"/>
          <w:sz w:val="28"/>
        </w:rPr>
        <w:t xml:space="preserve"> </w:t>
      </w:r>
      <w:r w:rsidRPr="00A60765">
        <w:rPr>
          <w:rFonts w:ascii="Times New Roman" w:hAnsi="Times New Roman" w:cs="Times New Roman"/>
          <w:sz w:val="28"/>
        </w:rPr>
        <w:t xml:space="preserve">тысяч рублей (без учета параметров прогноза социально-экономического развития Российской Федерации), в том числе по годам </w:t>
      </w:r>
      <w:r w:rsidRPr="00A60765">
        <w:rPr>
          <w:rFonts w:ascii="Times New Roman" w:hAnsi="Times New Roman" w:cs="Times New Roman"/>
          <w:sz w:val="28"/>
        </w:rPr>
        <w:lastRenderedPageBreak/>
        <w:t xml:space="preserve">образования указанных расходов: </w:t>
      </w:r>
    </w:p>
    <w:p w:rsidR="00C33A21" w:rsidRPr="00A60765" w:rsidRDefault="00B05909" w:rsidP="00C33A21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A60765">
        <w:rPr>
          <w:rFonts w:ascii="Times New Roman" w:hAnsi="Times New Roman" w:cs="Times New Roman"/>
          <w:sz w:val="28"/>
        </w:rPr>
        <w:t>2021 - 187 815,95 тыс. руб.</w:t>
      </w:r>
      <w:r w:rsidR="009E08F7" w:rsidRPr="00A60765">
        <w:rPr>
          <w:rFonts w:ascii="Times New Roman" w:hAnsi="Times New Roman" w:cs="Times New Roman"/>
          <w:sz w:val="28"/>
        </w:rPr>
        <w:t>;</w:t>
      </w:r>
    </w:p>
    <w:p w:rsidR="00C33A21" w:rsidRPr="00A60765" w:rsidRDefault="00B05909" w:rsidP="00C33A21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A60765">
        <w:rPr>
          <w:rFonts w:ascii="Times New Roman" w:hAnsi="Times New Roman" w:cs="Times New Roman"/>
          <w:sz w:val="28"/>
        </w:rPr>
        <w:t>2022 - 502 405,03 тыс. руб.</w:t>
      </w:r>
      <w:r w:rsidR="009E08F7" w:rsidRPr="00A60765">
        <w:rPr>
          <w:rFonts w:ascii="Times New Roman" w:hAnsi="Times New Roman" w:cs="Times New Roman"/>
          <w:sz w:val="28"/>
        </w:rPr>
        <w:t>;</w:t>
      </w:r>
    </w:p>
    <w:p w:rsidR="00C33A21" w:rsidRPr="00A60765" w:rsidRDefault="00B05909" w:rsidP="00C33A21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A60765">
        <w:rPr>
          <w:rFonts w:ascii="Times New Roman" w:hAnsi="Times New Roman" w:cs="Times New Roman"/>
          <w:sz w:val="28"/>
        </w:rPr>
        <w:t>2023 -784 954,27 тыс. руб.</w:t>
      </w:r>
      <w:r w:rsidR="009E08F7" w:rsidRPr="00A60765">
        <w:rPr>
          <w:rFonts w:ascii="Times New Roman" w:hAnsi="Times New Roman" w:cs="Times New Roman"/>
          <w:sz w:val="28"/>
        </w:rPr>
        <w:t>;</w:t>
      </w:r>
    </w:p>
    <w:p w:rsidR="00C33A21" w:rsidRPr="00A60765" w:rsidRDefault="00B05909" w:rsidP="00C33A21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A60765">
        <w:rPr>
          <w:rFonts w:ascii="Times New Roman" w:hAnsi="Times New Roman" w:cs="Times New Roman"/>
          <w:sz w:val="28"/>
        </w:rPr>
        <w:t>2024 - 856 519,38 тыс. руб.</w:t>
      </w:r>
    </w:p>
    <w:p w:rsidR="004B2C01" w:rsidRPr="00A60765" w:rsidRDefault="004B2C01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A60765">
        <w:rPr>
          <w:rFonts w:ascii="Times New Roman" w:eastAsia="Times New Roman" w:hAnsi="Times New Roman" w:cs="Times New Roman"/>
          <w:sz w:val="28"/>
        </w:rPr>
        <w:t>Учет указанных экономически обоснованных расходов Организации будет осуществляться Регулирующим органом</w:t>
      </w:r>
      <w:r w:rsidR="003C578F" w:rsidRPr="00A60765">
        <w:rPr>
          <w:rFonts w:ascii="Times New Roman" w:eastAsia="Times New Roman" w:hAnsi="Times New Roman" w:cs="Times New Roman"/>
          <w:sz w:val="28"/>
        </w:rPr>
        <w:t xml:space="preserve"> в течение </w:t>
      </w:r>
      <w:r w:rsidR="00A03275" w:rsidRPr="00A60765">
        <w:rPr>
          <w:rFonts w:ascii="Times New Roman" w:eastAsia="Times New Roman" w:hAnsi="Times New Roman" w:cs="Times New Roman"/>
          <w:sz w:val="28"/>
        </w:rPr>
        <w:t xml:space="preserve">срока </w:t>
      </w:r>
      <w:r w:rsidR="003C578F" w:rsidRPr="00A60765">
        <w:rPr>
          <w:rFonts w:ascii="Times New Roman" w:eastAsia="Times New Roman" w:hAnsi="Times New Roman" w:cs="Times New Roman"/>
          <w:sz w:val="28"/>
        </w:rPr>
        <w:t>действия настоящего С</w:t>
      </w:r>
      <w:r w:rsidRPr="00A60765">
        <w:rPr>
          <w:rFonts w:ascii="Times New Roman" w:eastAsia="Times New Roman" w:hAnsi="Times New Roman" w:cs="Times New Roman"/>
          <w:sz w:val="28"/>
        </w:rPr>
        <w:t xml:space="preserve">оглашения в соответствии с Приложением </w:t>
      </w:r>
      <w:r w:rsidR="00EC5630" w:rsidRPr="00A60765">
        <w:rPr>
          <w:rFonts w:ascii="Times New Roman" w:eastAsia="Times New Roman" w:hAnsi="Times New Roman" w:cs="Times New Roman"/>
          <w:sz w:val="28"/>
        </w:rPr>
        <w:t>2</w:t>
      </w:r>
      <w:r w:rsidR="003C578F" w:rsidRPr="00A60765">
        <w:rPr>
          <w:rFonts w:ascii="Times New Roman" w:eastAsia="Times New Roman" w:hAnsi="Times New Roman" w:cs="Times New Roman"/>
          <w:sz w:val="28"/>
        </w:rPr>
        <w:t xml:space="preserve"> к настоящему Соглашению.</w:t>
      </w:r>
    </w:p>
    <w:p w:rsidR="00BB0BF7" w:rsidRPr="00A60765" w:rsidRDefault="00BB0BF7" w:rsidP="00BB0BF7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A60765">
        <w:rPr>
          <w:rFonts w:ascii="Times New Roman" w:hAnsi="Times New Roman" w:cs="Times New Roman"/>
          <w:sz w:val="28"/>
        </w:rPr>
        <w:t xml:space="preserve">Распределение учитываемых результатов деятельности по годам в течение срока, предусмотренного пунктом 7 настоящего </w:t>
      </w:r>
      <w:r w:rsidR="00FC0DD9" w:rsidRPr="00A60765">
        <w:rPr>
          <w:rFonts w:ascii="Times New Roman" w:hAnsi="Times New Roman" w:cs="Times New Roman"/>
          <w:sz w:val="28"/>
        </w:rPr>
        <w:t>С</w:t>
      </w:r>
      <w:r w:rsidRPr="00A60765">
        <w:rPr>
          <w:rFonts w:ascii="Times New Roman" w:hAnsi="Times New Roman" w:cs="Times New Roman"/>
          <w:sz w:val="28"/>
        </w:rPr>
        <w:t xml:space="preserve">оглашения, осуществляется Регулирующим органом в соответствии с действующим на момент принятия соответствующего решения законодательством в области государственного регулирования </w:t>
      </w:r>
      <w:r w:rsidR="00FC0DD9" w:rsidRPr="00A60765">
        <w:rPr>
          <w:rFonts w:ascii="Times New Roman" w:hAnsi="Times New Roman" w:cs="Times New Roman"/>
          <w:sz w:val="28"/>
        </w:rPr>
        <w:t>цен (</w:t>
      </w:r>
      <w:r w:rsidRPr="00A60765">
        <w:rPr>
          <w:rFonts w:ascii="Times New Roman" w:hAnsi="Times New Roman" w:cs="Times New Roman"/>
          <w:sz w:val="28"/>
        </w:rPr>
        <w:t>тарифов</w:t>
      </w:r>
      <w:r w:rsidR="00FC0DD9" w:rsidRPr="00A60765">
        <w:rPr>
          <w:rFonts w:ascii="Times New Roman" w:hAnsi="Times New Roman" w:cs="Times New Roman"/>
          <w:sz w:val="28"/>
        </w:rPr>
        <w:t>) в сфере электроэнергетики</w:t>
      </w:r>
      <w:r w:rsidRPr="00A60765">
        <w:rPr>
          <w:rFonts w:ascii="Times New Roman" w:hAnsi="Times New Roman" w:cs="Times New Roman"/>
          <w:sz w:val="28"/>
        </w:rPr>
        <w:t>.</w:t>
      </w:r>
    </w:p>
    <w:p w:rsidR="004B2C01" w:rsidRPr="00A60765" w:rsidRDefault="00B05909" w:rsidP="0039531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0765">
        <w:rPr>
          <w:rFonts w:ascii="Times New Roman" w:hAnsi="Times New Roman"/>
          <w:sz w:val="28"/>
        </w:rPr>
        <w:t>е</w:t>
      </w:r>
      <w:r w:rsidR="00507CF4" w:rsidRPr="00A60765">
        <w:rPr>
          <w:rFonts w:ascii="Times New Roman" w:hAnsi="Times New Roman" w:cs="Times New Roman"/>
          <w:sz w:val="28"/>
          <w:szCs w:val="28"/>
        </w:rPr>
        <w:t>) учет в теч</w:t>
      </w:r>
      <w:r w:rsidR="00A34175" w:rsidRPr="00A60765">
        <w:rPr>
          <w:rFonts w:ascii="Times New Roman" w:hAnsi="Times New Roman" w:cs="Times New Roman"/>
          <w:sz w:val="28"/>
          <w:szCs w:val="28"/>
        </w:rPr>
        <w:t>ение срока действия настоящего С</w:t>
      </w:r>
      <w:r w:rsidR="00507CF4" w:rsidRPr="00A60765">
        <w:rPr>
          <w:rFonts w:ascii="Times New Roman" w:hAnsi="Times New Roman" w:cs="Times New Roman"/>
          <w:sz w:val="28"/>
          <w:szCs w:val="28"/>
        </w:rPr>
        <w:t>оглашения результатов деятельности Организации, полученных в теч</w:t>
      </w:r>
      <w:r w:rsidR="00A34175" w:rsidRPr="00A60765">
        <w:rPr>
          <w:rFonts w:ascii="Times New Roman" w:hAnsi="Times New Roman" w:cs="Times New Roman"/>
          <w:sz w:val="28"/>
          <w:szCs w:val="28"/>
        </w:rPr>
        <w:t>ение срока действия настоящего С</w:t>
      </w:r>
      <w:r w:rsidR="00507CF4" w:rsidRPr="00A60765">
        <w:rPr>
          <w:rFonts w:ascii="Times New Roman" w:hAnsi="Times New Roman" w:cs="Times New Roman"/>
          <w:sz w:val="28"/>
          <w:szCs w:val="28"/>
        </w:rPr>
        <w:t xml:space="preserve">оглашения </w:t>
      </w:r>
      <w:r w:rsidR="00BD4055" w:rsidRPr="00A60765">
        <w:rPr>
          <w:rFonts w:ascii="Times New Roman" w:eastAsia="Times New Roman" w:hAnsi="Times New Roman" w:cs="Times New Roman"/>
          <w:sz w:val="28"/>
          <w:szCs w:val="28"/>
        </w:rPr>
        <w:t xml:space="preserve">с учетом положений пункта 7 </w:t>
      </w:r>
      <w:r w:rsidR="004B2C01" w:rsidRPr="00A60765">
        <w:rPr>
          <w:rFonts w:ascii="Times New Roman" w:eastAsia="Times New Roman" w:hAnsi="Times New Roman" w:cs="Times New Roman"/>
          <w:sz w:val="28"/>
          <w:szCs w:val="28"/>
        </w:rPr>
        <w:t>Основ ценообразования</w:t>
      </w:r>
      <w:r w:rsidR="00CE5D27" w:rsidRPr="00A607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D4055" w:rsidRPr="00A60765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4B2C01" w:rsidRPr="00A60765">
        <w:rPr>
          <w:rFonts w:ascii="Times New Roman" w:eastAsia="Times New Roman" w:hAnsi="Times New Roman" w:cs="Times New Roman"/>
          <w:sz w:val="28"/>
          <w:szCs w:val="28"/>
        </w:rPr>
        <w:t>Методических указаний по расчету тарифов на услуги по передаче электрической энергии, устанавливаемых с применением метода долгосрочной индекса</w:t>
      </w:r>
      <w:r w:rsidR="00BD4055" w:rsidRPr="00A60765">
        <w:rPr>
          <w:rFonts w:ascii="Times New Roman" w:eastAsia="Times New Roman" w:hAnsi="Times New Roman" w:cs="Times New Roman"/>
          <w:sz w:val="28"/>
          <w:szCs w:val="28"/>
        </w:rPr>
        <w:t>ции необходимой валовой выручки</w:t>
      </w:r>
      <w:r w:rsidR="004B2C01" w:rsidRPr="00A60765">
        <w:rPr>
          <w:rFonts w:ascii="Times New Roman" w:eastAsia="Times New Roman" w:hAnsi="Times New Roman" w:cs="Times New Roman"/>
          <w:sz w:val="28"/>
          <w:szCs w:val="28"/>
        </w:rPr>
        <w:t>, утвержденны</w:t>
      </w:r>
      <w:r w:rsidR="00BD4055" w:rsidRPr="00A60765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="004B2C01" w:rsidRPr="00A60765">
        <w:rPr>
          <w:rFonts w:ascii="Times New Roman" w:eastAsia="Times New Roman" w:hAnsi="Times New Roman" w:cs="Times New Roman"/>
          <w:sz w:val="28"/>
          <w:szCs w:val="28"/>
        </w:rPr>
        <w:t>приказом ФСТ России от 17.02.2012 № 98-э</w:t>
      </w:r>
      <w:r w:rsidR="00BD471D" w:rsidRPr="00A607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3D90" w:rsidRPr="00A60765">
        <w:rPr>
          <w:rFonts w:ascii="Times New Roman" w:eastAsia="Times New Roman" w:hAnsi="Times New Roman" w:cs="Times New Roman"/>
          <w:sz w:val="28"/>
          <w:szCs w:val="28"/>
        </w:rPr>
        <w:t>(</w:t>
      </w:r>
      <w:r w:rsidR="00BD471D" w:rsidRPr="00A6076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C3D90" w:rsidRPr="00A607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471D" w:rsidRPr="00A60765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C3D90" w:rsidRPr="00A6076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D471D" w:rsidRPr="00A60765">
        <w:rPr>
          <w:rFonts w:ascii="Times New Roman" w:eastAsia="Times New Roman" w:hAnsi="Times New Roman" w:cs="Times New Roman"/>
          <w:sz w:val="28"/>
          <w:szCs w:val="28"/>
        </w:rPr>
        <w:t>ле</w:t>
      </w:r>
      <w:r w:rsidR="00DC3D90" w:rsidRPr="00A60765">
        <w:rPr>
          <w:rFonts w:ascii="Times New Roman" w:eastAsia="Times New Roman" w:hAnsi="Times New Roman" w:cs="Times New Roman"/>
          <w:sz w:val="28"/>
          <w:szCs w:val="28"/>
        </w:rPr>
        <w:t>дующими изменениями)</w:t>
      </w:r>
      <w:r w:rsidR="004B2C01" w:rsidRPr="00A60765">
        <w:rPr>
          <w:rFonts w:ascii="Times New Roman" w:eastAsia="Times New Roman" w:hAnsi="Times New Roman" w:cs="Times New Roman"/>
          <w:sz w:val="28"/>
          <w:szCs w:val="28"/>
        </w:rPr>
        <w:t>, в размерах, позволяющих</w:t>
      </w:r>
      <w:proofErr w:type="gramEnd"/>
      <w:r w:rsidR="004B2C01" w:rsidRPr="00A60765">
        <w:rPr>
          <w:rFonts w:ascii="Times New Roman" w:eastAsia="Times New Roman" w:hAnsi="Times New Roman" w:cs="Times New Roman"/>
          <w:sz w:val="28"/>
          <w:szCs w:val="28"/>
        </w:rPr>
        <w:t xml:space="preserve"> соблюсти предельный рост </w:t>
      </w:r>
      <w:r w:rsidR="00BD471D" w:rsidRPr="00A60765">
        <w:rPr>
          <w:rFonts w:ascii="Times New Roman" w:eastAsia="Times New Roman" w:hAnsi="Times New Roman" w:cs="Times New Roman"/>
          <w:sz w:val="28"/>
          <w:szCs w:val="28"/>
        </w:rPr>
        <w:t xml:space="preserve">единых (котловых) </w:t>
      </w:r>
      <w:r w:rsidR="004B2C01" w:rsidRPr="00A60765">
        <w:rPr>
          <w:rFonts w:ascii="Times New Roman" w:eastAsia="Times New Roman" w:hAnsi="Times New Roman" w:cs="Times New Roman"/>
          <w:sz w:val="28"/>
          <w:szCs w:val="28"/>
        </w:rPr>
        <w:t>тарифов, определенн</w:t>
      </w:r>
      <w:r w:rsidR="00BD4055" w:rsidRPr="00A60765">
        <w:rPr>
          <w:rFonts w:ascii="Times New Roman" w:eastAsia="Times New Roman" w:hAnsi="Times New Roman" w:cs="Times New Roman"/>
          <w:sz w:val="28"/>
          <w:szCs w:val="28"/>
        </w:rPr>
        <w:t xml:space="preserve">ых </w:t>
      </w:r>
      <w:r w:rsidR="00345D38" w:rsidRPr="00A6076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BD4055" w:rsidRPr="00A6076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D471D" w:rsidRPr="00A60765">
        <w:rPr>
          <w:rFonts w:ascii="Times New Roman" w:eastAsia="Times New Roman" w:hAnsi="Times New Roman" w:cs="Times New Roman"/>
          <w:sz w:val="28"/>
          <w:szCs w:val="28"/>
        </w:rPr>
        <w:t>од</w:t>
      </w:r>
      <w:r w:rsidR="00BD4055" w:rsidRPr="00A6076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C3D90" w:rsidRPr="00A60765">
        <w:rPr>
          <w:rFonts w:ascii="Times New Roman" w:eastAsia="Times New Roman" w:hAnsi="Times New Roman" w:cs="Times New Roman"/>
          <w:sz w:val="28"/>
          <w:szCs w:val="28"/>
        </w:rPr>
        <w:t>унктом</w:t>
      </w:r>
      <w:r w:rsidR="00BD4055" w:rsidRPr="00A60765">
        <w:rPr>
          <w:rFonts w:ascii="Times New Roman" w:eastAsia="Times New Roman" w:hAnsi="Times New Roman" w:cs="Times New Roman"/>
          <w:sz w:val="28"/>
          <w:szCs w:val="28"/>
        </w:rPr>
        <w:t xml:space="preserve"> «г» пункта 3 настоящего С</w:t>
      </w:r>
      <w:r w:rsidR="004B2C01" w:rsidRPr="00A60765">
        <w:rPr>
          <w:rFonts w:ascii="Times New Roman" w:eastAsia="Times New Roman" w:hAnsi="Times New Roman" w:cs="Times New Roman"/>
          <w:sz w:val="28"/>
          <w:szCs w:val="28"/>
        </w:rPr>
        <w:t>оглашения, в следующем порядке:</w:t>
      </w:r>
    </w:p>
    <w:p w:rsidR="004B2C01" w:rsidRPr="00A60765" w:rsidRDefault="00A03275" w:rsidP="004B2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765">
        <w:rPr>
          <w:rFonts w:ascii="Times New Roman" w:eastAsia="Times New Roman" w:hAnsi="Times New Roman" w:cs="Times New Roman"/>
          <w:sz w:val="28"/>
          <w:szCs w:val="28"/>
        </w:rPr>
        <w:t>- результаты деятельности О</w:t>
      </w:r>
      <w:r w:rsidR="004B2C01" w:rsidRPr="00A60765">
        <w:rPr>
          <w:rFonts w:ascii="Times New Roman" w:eastAsia="Times New Roman" w:hAnsi="Times New Roman" w:cs="Times New Roman"/>
          <w:sz w:val="28"/>
          <w:szCs w:val="28"/>
        </w:rPr>
        <w:t xml:space="preserve">рганизации за 2025 год подлежат учету в тарифах на 2027 год; </w:t>
      </w:r>
    </w:p>
    <w:p w:rsidR="004B2C01" w:rsidRPr="00A60765" w:rsidRDefault="00A03275" w:rsidP="004B2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765">
        <w:rPr>
          <w:rFonts w:ascii="Times New Roman" w:eastAsia="Times New Roman" w:hAnsi="Times New Roman" w:cs="Times New Roman"/>
          <w:sz w:val="28"/>
          <w:szCs w:val="28"/>
        </w:rPr>
        <w:t>- результаты деятельности О</w:t>
      </w:r>
      <w:r w:rsidR="004B2C01" w:rsidRPr="00A60765">
        <w:rPr>
          <w:rFonts w:ascii="Times New Roman" w:eastAsia="Times New Roman" w:hAnsi="Times New Roman" w:cs="Times New Roman"/>
          <w:sz w:val="28"/>
          <w:szCs w:val="28"/>
        </w:rPr>
        <w:t xml:space="preserve">рганизации за 2026 год подлежат учету в тарифах на 2028 год; </w:t>
      </w:r>
    </w:p>
    <w:p w:rsidR="004B2C01" w:rsidRPr="00A60765" w:rsidRDefault="00A03275" w:rsidP="004B2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765">
        <w:rPr>
          <w:rFonts w:ascii="Times New Roman" w:eastAsia="Times New Roman" w:hAnsi="Times New Roman" w:cs="Times New Roman"/>
          <w:sz w:val="28"/>
          <w:szCs w:val="28"/>
        </w:rPr>
        <w:t>- результаты деятельности О</w:t>
      </w:r>
      <w:r w:rsidR="004B2C01" w:rsidRPr="00A60765">
        <w:rPr>
          <w:rFonts w:ascii="Times New Roman" w:eastAsia="Times New Roman" w:hAnsi="Times New Roman" w:cs="Times New Roman"/>
          <w:sz w:val="28"/>
          <w:szCs w:val="28"/>
        </w:rPr>
        <w:t xml:space="preserve">рганизации за 2027 год подлежат учету в тарифах на 2029 год; </w:t>
      </w:r>
    </w:p>
    <w:p w:rsidR="004B3B85" w:rsidRPr="00A60765" w:rsidRDefault="00B05909" w:rsidP="0039531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0765">
        <w:rPr>
          <w:rFonts w:ascii="Times New Roman" w:hAnsi="Times New Roman" w:cs="Times New Roman"/>
          <w:sz w:val="28"/>
        </w:rPr>
        <w:t>ж) учет по истеч</w:t>
      </w:r>
      <w:r w:rsidR="00A34175" w:rsidRPr="00A60765">
        <w:rPr>
          <w:rFonts w:ascii="Times New Roman" w:hAnsi="Times New Roman" w:cs="Times New Roman"/>
          <w:sz w:val="28"/>
        </w:rPr>
        <w:t>ении срока действия настоящего С</w:t>
      </w:r>
      <w:r w:rsidRPr="00A60765">
        <w:rPr>
          <w:rFonts w:ascii="Times New Roman" w:hAnsi="Times New Roman" w:cs="Times New Roman"/>
          <w:sz w:val="28"/>
        </w:rPr>
        <w:t xml:space="preserve">оглашения результатов деятельности </w:t>
      </w:r>
      <w:r w:rsidRPr="00A60765">
        <w:rPr>
          <w:rFonts w:ascii="Times New Roman" w:hAnsi="Times New Roman" w:cs="Times New Roman"/>
          <w:sz w:val="28"/>
          <w:szCs w:val="28"/>
        </w:rPr>
        <w:t>О</w:t>
      </w:r>
      <w:r w:rsidRPr="00A60765">
        <w:rPr>
          <w:rFonts w:ascii="Times New Roman" w:hAnsi="Times New Roman" w:cs="Times New Roman"/>
          <w:sz w:val="28"/>
        </w:rPr>
        <w:t>рганизации, полученных в теч</w:t>
      </w:r>
      <w:r w:rsidR="00A34175" w:rsidRPr="00A60765">
        <w:rPr>
          <w:rFonts w:ascii="Times New Roman" w:hAnsi="Times New Roman" w:cs="Times New Roman"/>
          <w:sz w:val="28"/>
        </w:rPr>
        <w:t>ение срока действия настоящего С</w:t>
      </w:r>
      <w:r w:rsidRPr="00A60765">
        <w:rPr>
          <w:rFonts w:ascii="Times New Roman" w:hAnsi="Times New Roman" w:cs="Times New Roman"/>
          <w:sz w:val="28"/>
        </w:rPr>
        <w:t>оглашения</w:t>
      </w:r>
      <w:r w:rsidR="0039531A" w:rsidRPr="00A60765">
        <w:rPr>
          <w:rFonts w:ascii="Times New Roman" w:hAnsi="Times New Roman" w:cs="Times New Roman"/>
          <w:sz w:val="28"/>
          <w:szCs w:val="28"/>
        </w:rPr>
        <w:t xml:space="preserve"> </w:t>
      </w:r>
      <w:r w:rsidRPr="00A60765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на момент принятия соответствующего решения законодательством в области государственного регулирования </w:t>
      </w:r>
      <w:r w:rsidR="00280737" w:rsidRPr="00A60765">
        <w:rPr>
          <w:rFonts w:ascii="Times New Roman" w:hAnsi="Times New Roman" w:cs="Times New Roman"/>
          <w:sz w:val="28"/>
          <w:szCs w:val="28"/>
        </w:rPr>
        <w:t>цен (</w:t>
      </w:r>
      <w:r w:rsidRPr="00A60765">
        <w:rPr>
          <w:rFonts w:ascii="Times New Roman" w:hAnsi="Times New Roman" w:cs="Times New Roman"/>
          <w:sz w:val="28"/>
          <w:szCs w:val="28"/>
        </w:rPr>
        <w:t>тарифов</w:t>
      </w:r>
      <w:r w:rsidR="00280737" w:rsidRPr="00A60765">
        <w:rPr>
          <w:rFonts w:ascii="Times New Roman" w:hAnsi="Times New Roman" w:cs="Times New Roman"/>
          <w:sz w:val="28"/>
          <w:szCs w:val="28"/>
        </w:rPr>
        <w:t>) в сфере электроэнергетики</w:t>
      </w:r>
      <w:r w:rsidR="007A4CD3" w:rsidRPr="00A60765">
        <w:t xml:space="preserve"> </w:t>
      </w:r>
      <w:r w:rsidR="007A4CD3" w:rsidRPr="00A60765">
        <w:rPr>
          <w:rFonts w:ascii="Times New Roman" w:hAnsi="Times New Roman" w:cs="Times New Roman"/>
          <w:sz w:val="28"/>
          <w:szCs w:val="28"/>
        </w:rPr>
        <w:t>в размерах, позволяющих соблюсти предельн</w:t>
      </w:r>
      <w:r w:rsidR="00DC3D90" w:rsidRPr="00A60765">
        <w:rPr>
          <w:rFonts w:ascii="Times New Roman" w:hAnsi="Times New Roman" w:cs="Times New Roman"/>
          <w:sz w:val="28"/>
          <w:szCs w:val="28"/>
        </w:rPr>
        <w:t xml:space="preserve">ый рост тарифов, определенных </w:t>
      </w:r>
      <w:r w:rsidR="00345D38" w:rsidRPr="00A6076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C3D90" w:rsidRPr="00A60765">
        <w:rPr>
          <w:rFonts w:ascii="Times New Roman" w:hAnsi="Times New Roman" w:cs="Times New Roman"/>
          <w:sz w:val="28"/>
          <w:szCs w:val="28"/>
        </w:rPr>
        <w:t>подпунктом</w:t>
      </w:r>
      <w:r w:rsidR="007A4CD3" w:rsidRPr="00A60765">
        <w:rPr>
          <w:rFonts w:ascii="Times New Roman" w:hAnsi="Times New Roman" w:cs="Times New Roman"/>
          <w:sz w:val="28"/>
          <w:szCs w:val="28"/>
        </w:rPr>
        <w:t xml:space="preserve"> «г» пункта 3 настоящего Соглашения, в следующем порядке:</w:t>
      </w:r>
      <w:proofErr w:type="gramEnd"/>
    </w:p>
    <w:p w:rsidR="004B3B85" w:rsidRPr="00A60765" w:rsidRDefault="004B3B85" w:rsidP="004B3B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65">
        <w:rPr>
          <w:rFonts w:ascii="Times New Roman" w:hAnsi="Times New Roman" w:cs="Times New Roman"/>
          <w:sz w:val="28"/>
          <w:szCs w:val="28"/>
        </w:rPr>
        <w:t xml:space="preserve">- результаты деятельности Организации за 2028 год подлежат учету в тарифах на 2030 год; </w:t>
      </w:r>
    </w:p>
    <w:p w:rsidR="004B3B85" w:rsidRPr="00A60765" w:rsidRDefault="004B3B85" w:rsidP="004B3B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65">
        <w:rPr>
          <w:rFonts w:ascii="Times New Roman" w:hAnsi="Times New Roman" w:cs="Times New Roman"/>
          <w:sz w:val="28"/>
          <w:szCs w:val="28"/>
        </w:rPr>
        <w:t>- результаты деятельности Организации за 2029 год подлежат учету в тарифах на 2031 год</w:t>
      </w:r>
      <w:r w:rsidR="00525490" w:rsidRPr="00A60765">
        <w:rPr>
          <w:rFonts w:ascii="Times New Roman" w:hAnsi="Times New Roman" w:cs="Times New Roman"/>
          <w:sz w:val="28"/>
          <w:szCs w:val="28"/>
        </w:rPr>
        <w:t>;</w:t>
      </w:r>
    </w:p>
    <w:p w:rsidR="002F5F85" w:rsidRPr="00A60765" w:rsidRDefault="00B05909">
      <w:pPr>
        <w:pStyle w:val="ConsPlusNormal"/>
        <w:ind w:firstLine="709"/>
        <w:jc w:val="both"/>
        <w:rPr>
          <w:sz w:val="28"/>
        </w:rPr>
      </w:pPr>
      <w:r w:rsidRPr="00A60765">
        <w:rPr>
          <w:sz w:val="28"/>
        </w:rPr>
        <w:t>з) учет условий настоящего С</w:t>
      </w:r>
      <w:r w:rsidR="00507CF4" w:rsidRPr="00A60765">
        <w:rPr>
          <w:sz w:val="28"/>
        </w:rPr>
        <w:t xml:space="preserve">оглашения при направлении в федеральный орган исполнительной власти в области </w:t>
      </w:r>
      <w:r w:rsidR="00BD4055" w:rsidRPr="00A60765">
        <w:rPr>
          <w:sz w:val="28"/>
        </w:rPr>
        <w:t xml:space="preserve">государственного </w:t>
      </w:r>
      <w:r w:rsidR="00507CF4" w:rsidRPr="00A60765">
        <w:rPr>
          <w:sz w:val="28"/>
        </w:rPr>
        <w:t xml:space="preserve">регулирования </w:t>
      </w:r>
      <w:r w:rsidR="00BD4055" w:rsidRPr="00A60765">
        <w:rPr>
          <w:sz w:val="28"/>
        </w:rPr>
        <w:t>цен (</w:t>
      </w:r>
      <w:r w:rsidR="00507CF4" w:rsidRPr="00A60765">
        <w:rPr>
          <w:sz w:val="28"/>
        </w:rPr>
        <w:t>тарифов</w:t>
      </w:r>
      <w:r w:rsidR="00BD4055" w:rsidRPr="00A60765">
        <w:rPr>
          <w:sz w:val="28"/>
        </w:rPr>
        <w:t>)</w:t>
      </w:r>
      <w:r w:rsidR="00507CF4" w:rsidRPr="00A60765">
        <w:rPr>
          <w:sz w:val="28"/>
        </w:rPr>
        <w:t xml:space="preserve"> предложений об установлении предельных (минимальных и (или) максимальных) уровней цен (тарифов) на услуги по передаче электрической энергии по электрическим сетям, принадлежащим на праве собственности или ином законном основании терри</w:t>
      </w:r>
      <w:r w:rsidR="006C2C70" w:rsidRPr="00A60765">
        <w:rPr>
          <w:sz w:val="28"/>
        </w:rPr>
        <w:t>ториальным сетевым ор</w:t>
      </w:r>
      <w:r w:rsidR="00BF78DA" w:rsidRPr="00A60765">
        <w:rPr>
          <w:sz w:val="28"/>
        </w:rPr>
        <w:t>ганизациям.</w:t>
      </w:r>
    </w:p>
    <w:p w:rsidR="002F5F85" w:rsidRPr="00A60765" w:rsidRDefault="00B05909">
      <w:pPr>
        <w:pStyle w:val="ConsPlusNormal"/>
        <w:ind w:firstLine="709"/>
        <w:jc w:val="both"/>
        <w:rPr>
          <w:sz w:val="28"/>
          <w:szCs w:val="28"/>
        </w:rPr>
      </w:pPr>
      <w:r w:rsidRPr="00A60765">
        <w:rPr>
          <w:sz w:val="28"/>
        </w:rPr>
        <w:t xml:space="preserve">4. Регулирующий орган вправе профинансировать за счет средств бюджета </w:t>
      </w:r>
      <w:r w:rsidR="00B42460" w:rsidRPr="00A60765">
        <w:rPr>
          <w:sz w:val="28"/>
        </w:rPr>
        <w:lastRenderedPageBreak/>
        <w:t xml:space="preserve">Пензенской области </w:t>
      </w:r>
      <w:r w:rsidRPr="00A60765">
        <w:rPr>
          <w:sz w:val="28"/>
        </w:rPr>
        <w:t>отдельные расходы, предусмотренные пунктами 18 и 19 Основ ценообразования</w:t>
      </w:r>
      <w:r w:rsidRPr="00A60765">
        <w:rPr>
          <w:sz w:val="28"/>
          <w:szCs w:val="28"/>
        </w:rPr>
        <w:t>, и не учтенные</w:t>
      </w:r>
      <w:r w:rsidR="00A613A6" w:rsidRPr="00A60765">
        <w:rPr>
          <w:sz w:val="28"/>
          <w:szCs w:val="28"/>
        </w:rPr>
        <w:t xml:space="preserve"> в необходимой валовой выручке О</w:t>
      </w:r>
      <w:r w:rsidRPr="00A60765">
        <w:rPr>
          <w:sz w:val="28"/>
          <w:szCs w:val="28"/>
        </w:rPr>
        <w:t>рганизации.</w:t>
      </w:r>
    </w:p>
    <w:p w:rsidR="009E08F7" w:rsidRPr="00A60765" w:rsidRDefault="009E08F7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2F5F85" w:rsidRPr="00A60765" w:rsidRDefault="00B05909">
      <w:pPr>
        <w:pStyle w:val="ConsPlusNormal"/>
        <w:jc w:val="center"/>
        <w:outlineLvl w:val="1"/>
        <w:rPr>
          <w:b/>
          <w:sz w:val="28"/>
          <w:szCs w:val="28"/>
        </w:rPr>
      </w:pPr>
      <w:r w:rsidRPr="00A60765">
        <w:rPr>
          <w:b/>
          <w:sz w:val="28"/>
          <w:szCs w:val="28"/>
        </w:rPr>
        <w:t>III. Ответственность С</w:t>
      </w:r>
      <w:r w:rsidR="00507CF4" w:rsidRPr="00A60765">
        <w:rPr>
          <w:b/>
          <w:sz w:val="28"/>
          <w:szCs w:val="28"/>
        </w:rPr>
        <w:t>торон</w:t>
      </w:r>
    </w:p>
    <w:p w:rsidR="007D5136" w:rsidRPr="00A60765" w:rsidRDefault="007D5136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2F5F85" w:rsidRPr="00A60765" w:rsidRDefault="00B05909">
      <w:pPr>
        <w:pStyle w:val="ConsPlusNormal"/>
        <w:ind w:firstLine="709"/>
        <w:jc w:val="both"/>
        <w:rPr>
          <w:sz w:val="28"/>
          <w:szCs w:val="28"/>
        </w:rPr>
      </w:pPr>
      <w:r w:rsidRPr="00A60765">
        <w:rPr>
          <w:sz w:val="28"/>
          <w:szCs w:val="28"/>
        </w:rPr>
        <w:t>5. В случае неисполнения или ненадлежащего исполнения св</w:t>
      </w:r>
      <w:r w:rsidR="00B42460" w:rsidRPr="00A60765">
        <w:rPr>
          <w:sz w:val="28"/>
          <w:szCs w:val="28"/>
        </w:rPr>
        <w:t>оих обязательств по настоящему С</w:t>
      </w:r>
      <w:r w:rsidR="00172ABC" w:rsidRPr="00A60765">
        <w:rPr>
          <w:sz w:val="28"/>
          <w:szCs w:val="28"/>
        </w:rPr>
        <w:t>оглашению С</w:t>
      </w:r>
      <w:r w:rsidRPr="00A60765">
        <w:rPr>
          <w:sz w:val="28"/>
          <w:szCs w:val="28"/>
        </w:rPr>
        <w:t>тороны несут ответственность в соответствии с законодательством Ро</w:t>
      </w:r>
      <w:r w:rsidR="005C4CEC" w:rsidRPr="00A60765">
        <w:rPr>
          <w:sz w:val="28"/>
          <w:szCs w:val="28"/>
        </w:rPr>
        <w:t>ссийской Федерации и настоящим С</w:t>
      </w:r>
      <w:r w:rsidRPr="00A60765">
        <w:rPr>
          <w:sz w:val="28"/>
          <w:szCs w:val="28"/>
        </w:rPr>
        <w:t>оглашением.</w:t>
      </w:r>
    </w:p>
    <w:p w:rsidR="002F5F85" w:rsidRPr="00A60765" w:rsidRDefault="00B05909">
      <w:pPr>
        <w:pStyle w:val="ConsPlusNormal"/>
        <w:ind w:firstLine="709"/>
        <w:jc w:val="both"/>
        <w:rPr>
          <w:sz w:val="28"/>
          <w:szCs w:val="28"/>
        </w:rPr>
      </w:pPr>
      <w:r w:rsidRPr="00A60765">
        <w:rPr>
          <w:sz w:val="28"/>
          <w:szCs w:val="28"/>
        </w:rPr>
        <w:t>6. Стороны не несут ответственность за неисполнение или ненадлежащее исполне</w:t>
      </w:r>
      <w:r w:rsidR="005C4CEC" w:rsidRPr="00A60765">
        <w:rPr>
          <w:sz w:val="28"/>
          <w:szCs w:val="28"/>
        </w:rPr>
        <w:t>ние обязательств по настоящему С</w:t>
      </w:r>
      <w:r w:rsidRPr="00A60765">
        <w:rPr>
          <w:sz w:val="28"/>
          <w:szCs w:val="28"/>
        </w:rPr>
        <w:t>оглашению, если докажут, что надлежащее исполнение обязательств оказалось невозможным вследствие наступления обстоятельств непреодолимой силы</w:t>
      </w:r>
      <w:r w:rsidR="000F6F43" w:rsidRPr="00A60765">
        <w:rPr>
          <w:sz w:val="28"/>
          <w:szCs w:val="28"/>
        </w:rPr>
        <w:t xml:space="preserve"> </w:t>
      </w:r>
      <w:r w:rsidRPr="00A60765">
        <w:rPr>
          <w:sz w:val="28"/>
          <w:szCs w:val="28"/>
        </w:rPr>
        <w:t>или по вине другой стороны.</w:t>
      </w:r>
    </w:p>
    <w:p w:rsidR="00266C87" w:rsidRPr="00A60765" w:rsidRDefault="00266C87" w:rsidP="0058503A"/>
    <w:p w:rsidR="002F5F85" w:rsidRPr="00A60765" w:rsidRDefault="00B05909">
      <w:pPr>
        <w:pStyle w:val="ConsPlusNormal"/>
        <w:jc w:val="center"/>
        <w:outlineLvl w:val="1"/>
        <w:rPr>
          <w:b/>
          <w:sz w:val="28"/>
          <w:szCs w:val="28"/>
        </w:rPr>
      </w:pPr>
      <w:r w:rsidRPr="00A60765">
        <w:rPr>
          <w:b/>
          <w:sz w:val="28"/>
          <w:szCs w:val="28"/>
        </w:rPr>
        <w:t>IV. Иные условия</w:t>
      </w:r>
    </w:p>
    <w:p w:rsidR="00BE2ABE" w:rsidRPr="00A60765" w:rsidRDefault="00BE2ABE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2F5F85" w:rsidRPr="00A60765" w:rsidRDefault="00B059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05"/>
      <w:bookmarkEnd w:id="1"/>
      <w:r w:rsidRPr="00A60765">
        <w:rPr>
          <w:rFonts w:ascii="Times New Roman" w:hAnsi="Times New Roman" w:cs="Times New Roman"/>
          <w:sz w:val="28"/>
          <w:szCs w:val="28"/>
        </w:rPr>
        <w:t>7. Настоящее С</w:t>
      </w:r>
      <w:r w:rsidR="00507CF4" w:rsidRPr="00A60765">
        <w:rPr>
          <w:rFonts w:ascii="Times New Roman" w:hAnsi="Times New Roman" w:cs="Times New Roman"/>
          <w:sz w:val="28"/>
          <w:szCs w:val="28"/>
        </w:rPr>
        <w:t>оглашение заключено на 5 лет</w:t>
      </w:r>
      <w:r w:rsidR="00BB0BF7" w:rsidRPr="00A60765">
        <w:rPr>
          <w:rFonts w:ascii="Times New Roman" w:hAnsi="Times New Roman" w:cs="Times New Roman"/>
          <w:sz w:val="28"/>
          <w:szCs w:val="28"/>
        </w:rPr>
        <w:t xml:space="preserve"> и вступает в силу </w:t>
      </w:r>
      <w:r w:rsidR="007359FE" w:rsidRPr="00A60765">
        <w:rPr>
          <w:rFonts w:ascii="Times New Roman" w:hAnsi="Times New Roman" w:cs="Times New Roman"/>
          <w:sz w:val="28"/>
          <w:szCs w:val="28"/>
        </w:rPr>
        <w:t>с 01.01.2025</w:t>
      </w:r>
      <w:r w:rsidR="00CF4FEA" w:rsidRPr="00A60765">
        <w:rPr>
          <w:rFonts w:ascii="Times New Roman" w:hAnsi="Times New Roman" w:cs="Times New Roman"/>
          <w:sz w:val="28"/>
          <w:szCs w:val="28"/>
        </w:rPr>
        <w:t>.</w:t>
      </w:r>
    </w:p>
    <w:p w:rsidR="008A7B1A" w:rsidRPr="00A60765" w:rsidRDefault="00B05909" w:rsidP="00C637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65">
        <w:rPr>
          <w:rFonts w:ascii="Times New Roman" w:hAnsi="Times New Roman" w:cs="Times New Roman"/>
          <w:sz w:val="28"/>
          <w:szCs w:val="28"/>
        </w:rPr>
        <w:t xml:space="preserve">8. </w:t>
      </w:r>
      <w:r w:rsidR="00C63731" w:rsidRPr="00A60765">
        <w:rPr>
          <w:rFonts w:ascii="Times New Roman" w:hAnsi="Times New Roman" w:cs="Times New Roman"/>
          <w:sz w:val="28"/>
          <w:szCs w:val="28"/>
        </w:rPr>
        <w:t>Изменение настоящего Соглашения осуществляется в соответствии с пунктом 22 Правил заключения, изменения и расторжения соглашений об условиях осуществления регулируемых видов деятельности</w:t>
      </w:r>
      <w:r w:rsidR="008A7B1A" w:rsidRPr="00A607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3731" w:rsidRPr="00A60765" w:rsidRDefault="008A7B1A" w:rsidP="00C637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65">
        <w:rPr>
          <w:rFonts w:ascii="Times New Roman" w:hAnsi="Times New Roman" w:cs="Times New Roman"/>
          <w:sz w:val="28"/>
          <w:szCs w:val="28"/>
        </w:rPr>
        <w:t xml:space="preserve">По инициативе одной из Сторон настоящее Соглашение </w:t>
      </w:r>
      <w:r w:rsidR="0084067F" w:rsidRPr="00A60765">
        <w:rPr>
          <w:rFonts w:ascii="Times New Roman" w:hAnsi="Times New Roman" w:cs="Times New Roman"/>
          <w:sz w:val="28"/>
          <w:szCs w:val="28"/>
        </w:rPr>
        <w:t>подлежит изменению</w:t>
      </w:r>
      <w:r w:rsidRPr="00A60765">
        <w:rPr>
          <w:rFonts w:ascii="Times New Roman" w:hAnsi="Times New Roman" w:cs="Times New Roman"/>
          <w:sz w:val="28"/>
          <w:szCs w:val="28"/>
        </w:rPr>
        <w:t xml:space="preserve"> </w:t>
      </w:r>
      <w:r w:rsidR="00C63731" w:rsidRPr="00A60765">
        <w:rPr>
          <w:rFonts w:ascii="Times New Roman" w:hAnsi="Times New Roman" w:cs="Times New Roman"/>
          <w:sz w:val="28"/>
          <w:szCs w:val="28"/>
        </w:rPr>
        <w:t xml:space="preserve"> в следующих случаях: </w:t>
      </w:r>
    </w:p>
    <w:p w:rsidR="002F1F9F" w:rsidRPr="00A60765" w:rsidRDefault="002F1F9F" w:rsidP="002F1F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65">
        <w:rPr>
          <w:rFonts w:ascii="Times New Roman" w:hAnsi="Times New Roman" w:cs="Times New Roman"/>
          <w:sz w:val="28"/>
          <w:szCs w:val="28"/>
        </w:rPr>
        <w:t>а) утверждение льготной ставки за 1 кВт запрашиваемой максимальной мощности при технологическом присоединении, отличной от льготной ставки за 1 кВт</w:t>
      </w:r>
      <w:r w:rsidRPr="00A60765">
        <w:rPr>
          <w:sz w:val="28"/>
          <w:szCs w:val="28"/>
        </w:rPr>
        <w:t xml:space="preserve"> </w:t>
      </w:r>
      <w:r w:rsidRPr="00A60765">
        <w:rPr>
          <w:rFonts w:ascii="Times New Roman" w:hAnsi="Times New Roman" w:cs="Times New Roman"/>
          <w:sz w:val="28"/>
          <w:szCs w:val="28"/>
        </w:rPr>
        <w:t xml:space="preserve">запрашиваемой максимальной мощности, учтенной при расчете единых (котловых) тарифов, указанных в подпункте «г» пункта 3 настоящего Соглашения. </w:t>
      </w:r>
    </w:p>
    <w:p w:rsidR="002F1F9F" w:rsidRPr="00A60765" w:rsidRDefault="002F1F9F" w:rsidP="002F1F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65">
        <w:rPr>
          <w:rFonts w:ascii="Times New Roman" w:hAnsi="Times New Roman" w:cs="Times New Roman"/>
          <w:sz w:val="28"/>
          <w:szCs w:val="28"/>
        </w:rPr>
        <w:t>При расчете единых (котловых) тарифов, указанных в подпункте «г» пункта 3 настоящего Соглашения</w:t>
      </w:r>
      <w:r w:rsidR="00BD471D" w:rsidRPr="00A60765">
        <w:rPr>
          <w:rFonts w:ascii="Times New Roman" w:hAnsi="Times New Roman" w:cs="Times New Roman"/>
          <w:sz w:val="28"/>
          <w:szCs w:val="28"/>
        </w:rPr>
        <w:t>,</w:t>
      </w:r>
      <w:r w:rsidRPr="00A60765">
        <w:rPr>
          <w:rFonts w:ascii="Times New Roman" w:hAnsi="Times New Roman" w:cs="Times New Roman"/>
          <w:sz w:val="28"/>
          <w:szCs w:val="28"/>
        </w:rPr>
        <w:t xml:space="preserve"> учтено утверждение льготной ставки за 1 кВт запрашиваемой максимальной мощности при технологическом присоединении ежегодно, начиная с 2025 года до окончания срока действия настоящего Соглашения, с ростом относительно величины, утвержденной на предыдущий период регулирования, в размере индекса цен производителей по подразделу «Строительство» раздела «Капитальные вложения (инвестиции)» и дополнительным ростом 1000 руб. либо в размере, не превышающем минимальную из следующих величин:</w:t>
      </w:r>
    </w:p>
    <w:p w:rsidR="002F1F9F" w:rsidRPr="00A60765" w:rsidRDefault="002F1F9F" w:rsidP="002F1F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65">
        <w:rPr>
          <w:rFonts w:ascii="Times New Roman" w:hAnsi="Times New Roman" w:cs="Times New Roman"/>
          <w:sz w:val="28"/>
          <w:szCs w:val="28"/>
        </w:rPr>
        <w:t xml:space="preserve">максимальный размер льготной ставки за 1 кВт запрашиваемой максимальной мощности, предусмотренный Правилами технологического присоединения </w:t>
      </w:r>
      <w:proofErr w:type="spellStart"/>
      <w:r w:rsidRPr="00A60765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Pr="00A60765">
        <w:rPr>
          <w:rFonts w:ascii="Times New Roman" w:hAnsi="Times New Roman" w:cs="Times New Roman"/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организациям и иным лицам, к электрическим сетям, утвержденными постановлением Правительства РФ от 27.12.2004 № 861</w:t>
      </w:r>
      <w:r w:rsidR="00BD471D" w:rsidRPr="00A60765">
        <w:rPr>
          <w:rFonts w:ascii="Times New Roman" w:hAnsi="Times New Roman" w:cs="Times New Roman"/>
          <w:sz w:val="28"/>
          <w:szCs w:val="28"/>
        </w:rPr>
        <w:t xml:space="preserve"> </w:t>
      </w:r>
      <w:r w:rsidR="00DC3D90" w:rsidRPr="00A60765">
        <w:rPr>
          <w:rFonts w:ascii="Times New Roman" w:hAnsi="Times New Roman" w:cs="Times New Roman"/>
          <w:sz w:val="28"/>
          <w:szCs w:val="28"/>
        </w:rPr>
        <w:t>(</w:t>
      </w:r>
      <w:r w:rsidR="00BD471D" w:rsidRPr="00A60765">
        <w:rPr>
          <w:rFonts w:ascii="Times New Roman" w:hAnsi="Times New Roman" w:cs="Times New Roman"/>
          <w:sz w:val="28"/>
          <w:szCs w:val="28"/>
        </w:rPr>
        <w:t>с</w:t>
      </w:r>
      <w:r w:rsidR="00DC3D90" w:rsidRPr="00A60765">
        <w:rPr>
          <w:rFonts w:ascii="Times New Roman" w:hAnsi="Times New Roman" w:cs="Times New Roman"/>
          <w:sz w:val="28"/>
          <w:szCs w:val="28"/>
        </w:rPr>
        <w:t xml:space="preserve"> по</w:t>
      </w:r>
      <w:r w:rsidR="00BD471D" w:rsidRPr="00A60765">
        <w:rPr>
          <w:rFonts w:ascii="Times New Roman" w:hAnsi="Times New Roman" w:cs="Times New Roman"/>
          <w:sz w:val="28"/>
          <w:szCs w:val="28"/>
        </w:rPr>
        <w:t>с</w:t>
      </w:r>
      <w:r w:rsidR="00DC3D90" w:rsidRPr="00A60765">
        <w:rPr>
          <w:rFonts w:ascii="Times New Roman" w:hAnsi="Times New Roman" w:cs="Times New Roman"/>
          <w:sz w:val="28"/>
          <w:szCs w:val="28"/>
        </w:rPr>
        <w:t>л</w:t>
      </w:r>
      <w:r w:rsidR="00BD471D" w:rsidRPr="00A60765">
        <w:rPr>
          <w:rFonts w:ascii="Times New Roman" w:hAnsi="Times New Roman" w:cs="Times New Roman"/>
          <w:sz w:val="28"/>
          <w:szCs w:val="28"/>
        </w:rPr>
        <w:t>е</w:t>
      </w:r>
      <w:r w:rsidR="00DC3D90" w:rsidRPr="00A60765">
        <w:rPr>
          <w:rFonts w:ascii="Times New Roman" w:hAnsi="Times New Roman" w:cs="Times New Roman"/>
          <w:sz w:val="28"/>
          <w:szCs w:val="28"/>
        </w:rPr>
        <w:t>дующими изменениями)</w:t>
      </w:r>
      <w:r w:rsidRPr="00A60765">
        <w:rPr>
          <w:rFonts w:ascii="Times New Roman" w:hAnsi="Times New Roman" w:cs="Times New Roman"/>
          <w:sz w:val="28"/>
          <w:szCs w:val="28"/>
        </w:rPr>
        <w:t>;</w:t>
      </w:r>
    </w:p>
    <w:p w:rsidR="002F1F9F" w:rsidRPr="00A60765" w:rsidRDefault="002F1F9F" w:rsidP="002F1F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65">
        <w:rPr>
          <w:rFonts w:ascii="Times New Roman" w:hAnsi="Times New Roman" w:cs="Times New Roman"/>
          <w:sz w:val="28"/>
          <w:szCs w:val="28"/>
        </w:rPr>
        <w:t xml:space="preserve">фактически сложившуюся за отчетный период для Организации  (на территории Пензенской области) стоимость технологического присоединения 1 кВт запрашиваемой максимальной мощности для заявителей, в отношении </w:t>
      </w:r>
      <w:r w:rsidRPr="00A60765">
        <w:rPr>
          <w:rFonts w:ascii="Times New Roman" w:hAnsi="Times New Roman" w:cs="Times New Roman"/>
          <w:sz w:val="28"/>
          <w:szCs w:val="28"/>
        </w:rPr>
        <w:lastRenderedPageBreak/>
        <w:t>которых может применяться льготная ставка за 1 кВт запрашиваемой максимальной мощности, в предшествующем году принятия тарифного решения периоде регулирования, скорректированную на индекс цен производителей по подразделу «Строительство» раздела «Капитальные вложения (инвестиции)» на текущий год и на плановый период регулирования;</w:t>
      </w:r>
    </w:p>
    <w:p w:rsidR="002F1F9F" w:rsidRPr="00A60765" w:rsidRDefault="002F1F9F" w:rsidP="002F1F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65">
        <w:rPr>
          <w:rFonts w:ascii="Times New Roman" w:hAnsi="Times New Roman" w:cs="Times New Roman"/>
          <w:sz w:val="28"/>
          <w:szCs w:val="28"/>
        </w:rPr>
        <w:t>б) утверждение тарифов на электрическую энергию для населения и приравненных к нему категорий потребителей, начиная с 01.07.2025 в диапазонах объемов потребления электрической энергии, отличных от диапазонов, учтенных при расчете единых (котловых) тарифов, указанных в подпункте «г» пункта 3 настоящего Соглашения. Диапазоны объемов потребления электрической энергии, учтенные при расчете единых (котловых) тарифов, указаны в  Приложении 1 к настоящему Соглашению;</w:t>
      </w:r>
    </w:p>
    <w:p w:rsidR="002F1F9F" w:rsidRPr="00A60765" w:rsidRDefault="002F1F9F" w:rsidP="002F1F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65">
        <w:rPr>
          <w:rFonts w:ascii="Times New Roman" w:hAnsi="Times New Roman" w:cs="Times New Roman"/>
          <w:sz w:val="28"/>
          <w:szCs w:val="28"/>
        </w:rPr>
        <w:t>в) снижение при установлении единых (котловых) тарифов на услуги по передаче электрической энергии (мощности) величины</w:t>
      </w:r>
      <w:r w:rsidRPr="00A60765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</w:rPr>
        <w:t xml:space="preserve"> компенсации </w:t>
      </w:r>
      <w:r w:rsidRPr="00A60765">
        <w:rPr>
          <w:rFonts w:ascii="Times New Roman" w:eastAsia="Times New Roman" w:hAnsi="Times New Roman" w:cs="Times New Roman"/>
          <w:sz w:val="28"/>
          <w:szCs w:val="28"/>
        </w:rPr>
        <w:t>экономически обоснованных расходов, не учтенных в целях сглаживания изменения тарифов в предыдущие долгосрочные периоды регулирования, по сравнению с ее величиной, указанной в Приложении 2 к настояще</w:t>
      </w:r>
      <w:r w:rsidR="005E621D" w:rsidRPr="00A60765">
        <w:rPr>
          <w:rFonts w:ascii="Times New Roman" w:eastAsia="Times New Roman" w:hAnsi="Times New Roman" w:cs="Times New Roman"/>
          <w:sz w:val="28"/>
          <w:szCs w:val="28"/>
        </w:rPr>
        <w:t>му Соглашению, более чем на 1%;</w:t>
      </w:r>
    </w:p>
    <w:p w:rsidR="00C63731" w:rsidRPr="00A60765" w:rsidRDefault="002F1F9F" w:rsidP="00C637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65">
        <w:rPr>
          <w:rFonts w:ascii="Times New Roman" w:hAnsi="Times New Roman" w:cs="Times New Roman"/>
          <w:sz w:val="28"/>
          <w:szCs w:val="28"/>
        </w:rPr>
        <w:t>г</w:t>
      </w:r>
      <w:r w:rsidR="00C63731" w:rsidRPr="00A60765">
        <w:rPr>
          <w:rFonts w:ascii="Times New Roman" w:hAnsi="Times New Roman" w:cs="Times New Roman"/>
          <w:sz w:val="28"/>
          <w:szCs w:val="28"/>
        </w:rPr>
        <w:t xml:space="preserve">) </w:t>
      </w:r>
      <w:r w:rsidR="00B15C32" w:rsidRPr="00A60765">
        <w:rPr>
          <w:rFonts w:ascii="Times New Roman" w:hAnsi="Times New Roman" w:cs="Times New Roman"/>
          <w:sz w:val="28"/>
          <w:szCs w:val="28"/>
        </w:rPr>
        <w:t>снижени</w:t>
      </w:r>
      <w:r w:rsidR="00E42EA6" w:rsidRPr="00A60765">
        <w:rPr>
          <w:rFonts w:ascii="Times New Roman" w:hAnsi="Times New Roman" w:cs="Times New Roman"/>
          <w:sz w:val="28"/>
          <w:szCs w:val="28"/>
        </w:rPr>
        <w:t>е</w:t>
      </w:r>
      <w:r w:rsidR="00C63731" w:rsidRPr="00A60765">
        <w:rPr>
          <w:rFonts w:ascii="Times New Roman" w:hAnsi="Times New Roman" w:cs="Times New Roman"/>
          <w:sz w:val="28"/>
          <w:szCs w:val="28"/>
        </w:rPr>
        <w:t xml:space="preserve"> величины фактического полезного «котлового» отпуска электрической энергии (мощности) на 2 % и более от факта предыдущего года;</w:t>
      </w:r>
    </w:p>
    <w:p w:rsidR="00C63731" w:rsidRPr="00A60765" w:rsidRDefault="002F1F9F" w:rsidP="00C637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65">
        <w:rPr>
          <w:rFonts w:ascii="Times New Roman" w:hAnsi="Times New Roman" w:cs="Times New Roman"/>
          <w:sz w:val="28"/>
          <w:szCs w:val="28"/>
        </w:rPr>
        <w:t>д</w:t>
      </w:r>
      <w:r w:rsidR="00C63731" w:rsidRPr="00A60765">
        <w:rPr>
          <w:rFonts w:ascii="Times New Roman" w:hAnsi="Times New Roman" w:cs="Times New Roman"/>
          <w:sz w:val="28"/>
          <w:szCs w:val="28"/>
        </w:rPr>
        <w:t>) индексация единых (котловых) тарифов на услуги по передаче электрической энергии (мощности), поставляемой населению и приравненным к нему категориям потребителей, ниже уровня прогноза индексации тарифов на услуги по передаче электрической энергии (на соответствующий год) согласно последнему опубликованному прогнозу социально-экономического развития  Министерства экономического развития Российской Федерации на дату принятия решения об установлении единых (котловых) тарифов на услуги по передаче электрической энергии (мощности) соответствующего года;</w:t>
      </w:r>
    </w:p>
    <w:p w:rsidR="008A7B1A" w:rsidRPr="00A60765" w:rsidRDefault="008A7B1A" w:rsidP="00245B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65">
        <w:rPr>
          <w:rFonts w:ascii="Times New Roman" w:hAnsi="Times New Roman" w:cs="Times New Roman"/>
          <w:sz w:val="28"/>
          <w:szCs w:val="28"/>
        </w:rPr>
        <w:t>е) утверждение</w:t>
      </w:r>
      <w:r w:rsidR="006D6B9F" w:rsidRPr="00A60765">
        <w:rPr>
          <w:rFonts w:ascii="Times New Roman" w:hAnsi="Times New Roman" w:cs="Times New Roman"/>
          <w:sz w:val="28"/>
          <w:szCs w:val="28"/>
        </w:rPr>
        <w:t xml:space="preserve"> плановых значений показателей надежности </w:t>
      </w:r>
      <w:r w:rsidR="0084067F" w:rsidRPr="00A60765">
        <w:rPr>
          <w:rFonts w:ascii="Times New Roman" w:hAnsi="Times New Roman" w:cs="Times New Roman"/>
          <w:sz w:val="28"/>
          <w:szCs w:val="28"/>
        </w:rPr>
        <w:t xml:space="preserve">и качества </w:t>
      </w:r>
      <w:r w:rsidR="006D6B9F" w:rsidRPr="00A60765">
        <w:rPr>
          <w:rFonts w:ascii="Times New Roman" w:hAnsi="Times New Roman" w:cs="Times New Roman"/>
          <w:sz w:val="28"/>
          <w:szCs w:val="28"/>
        </w:rPr>
        <w:t>оказываемых услуг по передаче электрической энергии</w:t>
      </w:r>
      <w:r w:rsidR="0084067F" w:rsidRPr="00A60765">
        <w:rPr>
          <w:rFonts w:ascii="Times New Roman" w:hAnsi="Times New Roman" w:cs="Times New Roman"/>
          <w:sz w:val="28"/>
          <w:szCs w:val="28"/>
        </w:rPr>
        <w:t>, а также уровня потерь электрической энергии при ее передаче по электрическим сетям</w:t>
      </w:r>
      <w:r w:rsidR="006D6B9F" w:rsidRPr="00A60765">
        <w:rPr>
          <w:rFonts w:ascii="Times New Roman" w:hAnsi="Times New Roman" w:cs="Times New Roman"/>
          <w:sz w:val="28"/>
          <w:szCs w:val="28"/>
        </w:rPr>
        <w:t xml:space="preserve"> в соответствии с Основами ценообразования</w:t>
      </w:r>
      <w:r w:rsidR="0084067F" w:rsidRPr="00A60765">
        <w:rPr>
          <w:rFonts w:ascii="Times New Roman" w:hAnsi="Times New Roman" w:cs="Times New Roman"/>
          <w:sz w:val="28"/>
          <w:szCs w:val="28"/>
        </w:rPr>
        <w:t xml:space="preserve"> на 2028 и 2029 годы в значениях, отличных от значений, указанных в таблицах 1 – 3 пункта 2 настоящего Соглашения;</w:t>
      </w:r>
    </w:p>
    <w:p w:rsidR="00C63731" w:rsidRPr="00A60765" w:rsidRDefault="00780E91" w:rsidP="00C637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65">
        <w:rPr>
          <w:rFonts w:ascii="Times New Roman" w:hAnsi="Times New Roman" w:cs="Times New Roman"/>
          <w:sz w:val="28"/>
          <w:szCs w:val="28"/>
        </w:rPr>
        <w:t>Соглашение может быть изменено</w:t>
      </w:r>
      <w:r w:rsidR="00C63731" w:rsidRPr="00A60765">
        <w:rPr>
          <w:rFonts w:ascii="Times New Roman" w:hAnsi="Times New Roman" w:cs="Times New Roman"/>
          <w:sz w:val="28"/>
          <w:szCs w:val="28"/>
        </w:rPr>
        <w:t xml:space="preserve"> в иных случаях в соответствии с действующим законодательством при </w:t>
      </w:r>
      <w:r w:rsidR="00345D38" w:rsidRPr="00A60765">
        <w:rPr>
          <w:rFonts w:ascii="Times New Roman" w:hAnsi="Times New Roman" w:cs="Times New Roman"/>
          <w:sz w:val="28"/>
          <w:szCs w:val="28"/>
        </w:rPr>
        <w:t>взаимном</w:t>
      </w:r>
      <w:r w:rsidR="00A91AC8" w:rsidRPr="00A60765">
        <w:rPr>
          <w:rFonts w:ascii="Times New Roman" w:hAnsi="Times New Roman" w:cs="Times New Roman"/>
          <w:sz w:val="28"/>
          <w:szCs w:val="28"/>
        </w:rPr>
        <w:t xml:space="preserve"> согласии Сторон</w:t>
      </w:r>
      <w:r w:rsidR="00C63731" w:rsidRPr="00A60765">
        <w:rPr>
          <w:rFonts w:ascii="Times New Roman" w:hAnsi="Times New Roman" w:cs="Times New Roman"/>
          <w:sz w:val="28"/>
          <w:szCs w:val="28"/>
        </w:rPr>
        <w:t>.</w:t>
      </w:r>
    </w:p>
    <w:p w:rsidR="002F5F85" w:rsidRPr="00A60765" w:rsidRDefault="00B05909">
      <w:pPr>
        <w:pStyle w:val="ConsPlusNormal"/>
        <w:ind w:firstLine="709"/>
        <w:jc w:val="both"/>
        <w:rPr>
          <w:sz w:val="28"/>
          <w:szCs w:val="28"/>
        </w:rPr>
      </w:pPr>
      <w:r w:rsidRPr="00A60765">
        <w:rPr>
          <w:sz w:val="28"/>
          <w:szCs w:val="28"/>
        </w:rPr>
        <w:t>9. Расторжение на</w:t>
      </w:r>
      <w:r w:rsidR="005C4CEC" w:rsidRPr="00A60765">
        <w:rPr>
          <w:sz w:val="28"/>
          <w:szCs w:val="28"/>
        </w:rPr>
        <w:t>стоящего С</w:t>
      </w:r>
      <w:r w:rsidRPr="00A60765">
        <w:rPr>
          <w:sz w:val="28"/>
          <w:szCs w:val="28"/>
        </w:rPr>
        <w:t xml:space="preserve">оглашения осуществляется в соответствии с пунктами 33 - </w:t>
      </w:r>
      <w:hyperlink w:anchor="Par129" w:tooltip="42. Соглашение считается расторгнутым со дня принятия решения, предусмотренного пунктом 40 или 41 настоящих Правил." w:history="1">
        <w:r w:rsidRPr="00A60765">
          <w:rPr>
            <w:sz w:val="28"/>
            <w:szCs w:val="28"/>
          </w:rPr>
          <w:t>42</w:t>
        </w:r>
      </w:hyperlink>
      <w:r w:rsidRPr="00A60765">
        <w:rPr>
          <w:sz w:val="28"/>
          <w:szCs w:val="28"/>
        </w:rPr>
        <w:t xml:space="preserve"> Правил заключения, изменения и расторжения соглашений об условиях осуществления регулируемых видов деятельности.</w:t>
      </w:r>
    </w:p>
    <w:p w:rsidR="002F5F85" w:rsidRPr="00A60765" w:rsidRDefault="00B05909">
      <w:pPr>
        <w:pStyle w:val="ConsPlusNormal"/>
        <w:ind w:firstLine="709"/>
        <w:jc w:val="both"/>
        <w:rPr>
          <w:sz w:val="28"/>
          <w:szCs w:val="28"/>
        </w:rPr>
      </w:pPr>
      <w:r w:rsidRPr="00A60765">
        <w:rPr>
          <w:sz w:val="28"/>
          <w:szCs w:val="28"/>
        </w:rPr>
        <w:t>10. Настоящее С</w:t>
      </w:r>
      <w:r w:rsidR="00507CF4" w:rsidRPr="00A60765">
        <w:rPr>
          <w:sz w:val="28"/>
          <w:szCs w:val="28"/>
        </w:rPr>
        <w:t>оглашение составлено в 2 экземплярах, по одному для каждой из Сторон.</w:t>
      </w:r>
    </w:p>
    <w:p w:rsidR="002F5F85" w:rsidRPr="00A60765" w:rsidRDefault="002F5F85">
      <w:pPr>
        <w:pStyle w:val="ConsPlusNormal"/>
        <w:ind w:firstLine="709"/>
        <w:jc w:val="both"/>
        <w:rPr>
          <w:sz w:val="28"/>
          <w:szCs w:val="28"/>
        </w:rPr>
      </w:pPr>
    </w:p>
    <w:p w:rsidR="00110CC8" w:rsidRPr="00A60765" w:rsidRDefault="00110CC8" w:rsidP="00110CC8">
      <w:pPr>
        <w:pStyle w:val="ConsPlusNormal"/>
        <w:jc w:val="center"/>
        <w:outlineLvl w:val="1"/>
        <w:rPr>
          <w:b/>
          <w:sz w:val="28"/>
          <w:szCs w:val="28"/>
        </w:rPr>
      </w:pPr>
      <w:r w:rsidRPr="00A60765">
        <w:rPr>
          <w:b/>
          <w:sz w:val="28"/>
          <w:szCs w:val="28"/>
        </w:rPr>
        <w:t>V. Дополнительные условия соглашения</w:t>
      </w:r>
    </w:p>
    <w:p w:rsidR="00BE2ABE" w:rsidRPr="00A60765" w:rsidRDefault="00BE2ABE" w:rsidP="00110CC8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110CC8" w:rsidRPr="00A60765" w:rsidRDefault="006854D3" w:rsidP="00110CC8">
      <w:pPr>
        <w:pStyle w:val="ConsPlusNormal"/>
        <w:ind w:firstLine="709"/>
        <w:jc w:val="both"/>
        <w:rPr>
          <w:sz w:val="28"/>
          <w:szCs w:val="28"/>
        </w:rPr>
      </w:pPr>
      <w:r w:rsidRPr="00A60765">
        <w:rPr>
          <w:sz w:val="28"/>
          <w:szCs w:val="28"/>
        </w:rPr>
        <w:t>11</w:t>
      </w:r>
      <w:r w:rsidR="00110CC8" w:rsidRPr="00A60765">
        <w:rPr>
          <w:sz w:val="28"/>
          <w:szCs w:val="28"/>
        </w:rPr>
        <w:t xml:space="preserve">. Регулирующий орган не несет ответственность за неисполнение или ненадлежащее исполнение обязательств по настоящему </w:t>
      </w:r>
      <w:r w:rsidR="00CF4FEA" w:rsidRPr="00A60765">
        <w:rPr>
          <w:sz w:val="28"/>
          <w:szCs w:val="28"/>
        </w:rPr>
        <w:t>С</w:t>
      </w:r>
      <w:r w:rsidR="00110CC8" w:rsidRPr="00A60765">
        <w:rPr>
          <w:sz w:val="28"/>
          <w:szCs w:val="28"/>
        </w:rPr>
        <w:t>оглашению в период тарифного регулирования, в котором возникли такие обстоятельства, как:</w:t>
      </w:r>
    </w:p>
    <w:p w:rsidR="00110CC8" w:rsidRPr="00A60765" w:rsidRDefault="006854D3" w:rsidP="00110CC8">
      <w:pPr>
        <w:pStyle w:val="ConsPlusNormal"/>
        <w:ind w:firstLine="709"/>
        <w:jc w:val="both"/>
        <w:rPr>
          <w:sz w:val="28"/>
          <w:szCs w:val="28"/>
        </w:rPr>
      </w:pPr>
      <w:r w:rsidRPr="00A60765">
        <w:rPr>
          <w:sz w:val="28"/>
          <w:szCs w:val="28"/>
        </w:rPr>
        <w:t>11</w:t>
      </w:r>
      <w:r w:rsidR="00110CC8" w:rsidRPr="00A60765">
        <w:rPr>
          <w:sz w:val="28"/>
          <w:szCs w:val="28"/>
        </w:rPr>
        <w:t xml:space="preserve">.1. установление </w:t>
      </w:r>
      <w:r w:rsidR="000215CC" w:rsidRPr="00A60765">
        <w:rPr>
          <w:sz w:val="28"/>
          <w:szCs w:val="28"/>
        </w:rPr>
        <w:t xml:space="preserve">федеральным органом исполнительной власти в области </w:t>
      </w:r>
      <w:r w:rsidR="000215CC" w:rsidRPr="00A60765">
        <w:rPr>
          <w:sz w:val="28"/>
          <w:szCs w:val="28"/>
        </w:rPr>
        <w:lastRenderedPageBreak/>
        <w:t xml:space="preserve">государственного регулирования цен (тарифов) </w:t>
      </w:r>
      <w:r w:rsidR="00110CC8" w:rsidRPr="00A60765">
        <w:rPr>
          <w:sz w:val="28"/>
          <w:szCs w:val="28"/>
        </w:rPr>
        <w:t>предельных уровней тарифов на услуги по передаче электрической энергии (мощности) на соответствующий период регулирования на уровне</w:t>
      </w:r>
      <w:r w:rsidR="00CF4FEA" w:rsidRPr="00A60765">
        <w:rPr>
          <w:sz w:val="28"/>
          <w:szCs w:val="28"/>
        </w:rPr>
        <w:t>,</w:t>
      </w:r>
      <w:r w:rsidR="00110CC8" w:rsidRPr="00A60765">
        <w:rPr>
          <w:sz w:val="28"/>
          <w:szCs w:val="28"/>
        </w:rPr>
        <w:t xml:space="preserve"> ниже предусмотренного настоящим Соглашением;</w:t>
      </w:r>
    </w:p>
    <w:p w:rsidR="00110CC8" w:rsidRPr="00A60765" w:rsidRDefault="006854D3" w:rsidP="00110CC8">
      <w:pPr>
        <w:pStyle w:val="ConsPlusNormal"/>
        <w:ind w:firstLine="709"/>
        <w:jc w:val="both"/>
        <w:rPr>
          <w:sz w:val="28"/>
          <w:szCs w:val="28"/>
        </w:rPr>
      </w:pPr>
      <w:r w:rsidRPr="00A60765">
        <w:rPr>
          <w:sz w:val="28"/>
          <w:szCs w:val="28"/>
        </w:rPr>
        <w:t>11</w:t>
      </w:r>
      <w:r w:rsidR="00110CC8" w:rsidRPr="00A60765">
        <w:rPr>
          <w:sz w:val="28"/>
          <w:szCs w:val="28"/>
        </w:rPr>
        <w:t xml:space="preserve">.2. по результатам проверок </w:t>
      </w:r>
      <w:r w:rsidR="000215CC" w:rsidRPr="00A60765">
        <w:rPr>
          <w:sz w:val="28"/>
          <w:szCs w:val="28"/>
        </w:rPr>
        <w:t xml:space="preserve">федеральным органом исполнительной власти в области государственного регулирования цен (тарифов) </w:t>
      </w:r>
      <w:r w:rsidR="00110CC8" w:rsidRPr="00A60765">
        <w:rPr>
          <w:sz w:val="28"/>
          <w:szCs w:val="28"/>
        </w:rPr>
        <w:t>определена необходимость изменения тарифного решения на соответствующий период тарифного регулирования в части снижени</w:t>
      </w:r>
      <w:r w:rsidR="00CF4FEA" w:rsidRPr="00A60765">
        <w:rPr>
          <w:sz w:val="28"/>
          <w:szCs w:val="28"/>
        </w:rPr>
        <w:t>я</w:t>
      </w:r>
      <w:r w:rsidR="00110CC8" w:rsidRPr="00A60765">
        <w:rPr>
          <w:sz w:val="28"/>
          <w:szCs w:val="28"/>
        </w:rPr>
        <w:t xml:space="preserve"> ставок единых (котловых) тарифов на услуги по передаче электрической энергии (мощности) ниже уровня, предусмотренного настоящим </w:t>
      </w:r>
      <w:r w:rsidR="00CF4FEA" w:rsidRPr="00A60765">
        <w:rPr>
          <w:sz w:val="28"/>
          <w:szCs w:val="28"/>
        </w:rPr>
        <w:t>С</w:t>
      </w:r>
      <w:r w:rsidR="00110CC8" w:rsidRPr="00A60765">
        <w:rPr>
          <w:sz w:val="28"/>
          <w:szCs w:val="28"/>
        </w:rPr>
        <w:t>оглашением;</w:t>
      </w:r>
    </w:p>
    <w:p w:rsidR="00110CC8" w:rsidRPr="00A60765" w:rsidRDefault="006854D3" w:rsidP="00110CC8">
      <w:pPr>
        <w:pStyle w:val="ConsPlusNormal"/>
        <w:ind w:firstLine="709"/>
        <w:jc w:val="both"/>
        <w:rPr>
          <w:sz w:val="28"/>
          <w:szCs w:val="28"/>
        </w:rPr>
      </w:pPr>
      <w:r w:rsidRPr="00A60765">
        <w:rPr>
          <w:sz w:val="28"/>
          <w:szCs w:val="28"/>
        </w:rPr>
        <w:t>11</w:t>
      </w:r>
      <w:r w:rsidR="00D17555" w:rsidRPr="00A60765">
        <w:rPr>
          <w:sz w:val="28"/>
          <w:szCs w:val="28"/>
        </w:rPr>
        <w:t>.3. изменение</w:t>
      </w:r>
      <w:r w:rsidR="00110CC8" w:rsidRPr="00A60765">
        <w:rPr>
          <w:sz w:val="28"/>
          <w:szCs w:val="28"/>
        </w:rPr>
        <w:t xml:space="preserve"> законодательства Российской Федерации, нормативно-правовых актов фед</w:t>
      </w:r>
      <w:r w:rsidR="00D17555" w:rsidRPr="00A60765">
        <w:rPr>
          <w:sz w:val="28"/>
          <w:szCs w:val="28"/>
        </w:rPr>
        <w:t>еральных органов власти, издание</w:t>
      </w:r>
      <w:r w:rsidR="00110CC8" w:rsidRPr="00A60765">
        <w:rPr>
          <w:sz w:val="28"/>
          <w:szCs w:val="28"/>
        </w:rPr>
        <w:t xml:space="preserve"> указов или распоряжений </w:t>
      </w:r>
      <w:r w:rsidR="00CF4FEA" w:rsidRPr="00A60765">
        <w:rPr>
          <w:sz w:val="28"/>
          <w:szCs w:val="28"/>
        </w:rPr>
        <w:t>П</w:t>
      </w:r>
      <w:r w:rsidR="00110CC8" w:rsidRPr="00A60765">
        <w:rPr>
          <w:sz w:val="28"/>
          <w:szCs w:val="28"/>
        </w:rPr>
        <w:t>резидента Российской Федерации, принятие иных решений федеральных органов власти, препятствующих исполнению обязательств в соответствии с условиями настоящего Соглашения.</w:t>
      </w:r>
    </w:p>
    <w:p w:rsidR="00110CC8" w:rsidRPr="00A60765" w:rsidRDefault="006854D3" w:rsidP="00BD60D4">
      <w:pPr>
        <w:pStyle w:val="ConsPlusNormal"/>
        <w:ind w:firstLine="709"/>
        <w:jc w:val="both"/>
        <w:rPr>
          <w:sz w:val="28"/>
          <w:szCs w:val="28"/>
        </w:rPr>
      </w:pPr>
      <w:r w:rsidRPr="00A60765">
        <w:rPr>
          <w:sz w:val="28"/>
          <w:szCs w:val="28"/>
        </w:rPr>
        <w:t>12</w:t>
      </w:r>
      <w:r w:rsidR="00110CC8" w:rsidRPr="00A60765">
        <w:rPr>
          <w:sz w:val="28"/>
          <w:szCs w:val="28"/>
        </w:rPr>
        <w:t xml:space="preserve">. Организация не несет ответственность за неисполнение инвестиционной программы, если ее реализация в соответствии с условиями настоящего Соглашения оказалась невозможной </w:t>
      </w:r>
      <w:r w:rsidR="00BD60D4" w:rsidRPr="00A60765">
        <w:rPr>
          <w:sz w:val="28"/>
          <w:szCs w:val="28"/>
        </w:rPr>
        <w:t>ввиду отсутствия</w:t>
      </w:r>
      <w:r w:rsidR="00110CC8" w:rsidRPr="00A60765">
        <w:rPr>
          <w:sz w:val="28"/>
          <w:szCs w:val="28"/>
        </w:rPr>
        <w:t xml:space="preserve"> обеспечения финансирования инвестиционной программы необходимыми источниками в</w:t>
      </w:r>
      <w:r w:rsidR="00CF4FEA" w:rsidRPr="00A60765">
        <w:rPr>
          <w:sz w:val="28"/>
          <w:szCs w:val="28"/>
        </w:rPr>
        <w:t xml:space="preserve"> связи с неисполнением Р</w:t>
      </w:r>
      <w:r w:rsidR="0007352F" w:rsidRPr="00A60765">
        <w:rPr>
          <w:sz w:val="28"/>
          <w:szCs w:val="28"/>
        </w:rPr>
        <w:t xml:space="preserve">егулирующим органом обязательств, предусмотренных </w:t>
      </w:r>
      <w:r w:rsidR="00110CC8" w:rsidRPr="00A60765">
        <w:rPr>
          <w:sz w:val="28"/>
          <w:szCs w:val="28"/>
        </w:rPr>
        <w:t>п</w:t>
      </w:r>
      <w:r w:rsidR="00345D38" w:rsidRPr="00A60765">
        <w:rPr>
          <w:sz w:val="28"/>
          <w:szCs w:val="28"/>
        </w:rPr>
        <w:t>одпунктом</w:t>
      </w:r>
      <w:r w:rsidR="00A60E09" w:rsidRPr="00A60765">
        <w:rPr>
          <w:sz w:val="28"/>
          <w:szCs w:val="28"/>
        </w:rPr>
        <w:t xml:space="preserve"> «г» пункта </w:t>
      </w:r>
      <w:r w:rsidR="004D1386" w:rsidRPr="00A60765">
        <w:rPr>
          <w:sz w:val="28"/>
          <w:szCs w:val="28"/>
        </w:rPr>
        <w:t>3</w:t>
      </w:r>
      <w:r w:rsidR="00BD60D4" w:rsidRPr="00A60765">
        <w:rPr>
          <w:sz w:val="28"/>
          <w:szCs w:val="28"/>
        </w:rPr>
        <w:t xml:space="preserve"> настоящего Соглашения.</w:t>
      </w:r>
    </w:p>
    <w:p w:rsidR="00110CC8" w:rsidRPr="00A60765" w:rsidRDefault="006854D3" w:rsidP="00110CC8">
      <w:pPr>
        <w:pStyle w:val="ConsPlusNormal"/>
        <w:ind w:firstLine="709"/>
        <w:jc w:val="both"/>
        <w:rPr>
          <w:sz w:val="28"/>
          <w:szCs w:val="28"/>
        </w:rPr>
      </w:pPr>
      <w:r w:rsidRPr="00A60765">
        <w:rPr>
          <w:sz w:val="28"/>
          <w:szCs w:val="28"/>
        </w:rPr>
        <w:t>13</w:t>
      </w:r>
      <w:r w:rsidR="00CF4FEA" w:rsidRPr="00A60765">
        <w:rPr>
          <w:sz w:val="28"/>
          <w:szCs w:val="28"/>
        </w:rPr>
        <w:t>.</w:t>
      </w:r>
      <w:r w:rsidR="00110CC8" w:rsidRPr="00A60765">
        <w:rPr>
          <w:sz w:val="28"/>
          <w:szCs w:val="28"/>
        </w:rPr>
        <w:t xml:space="preserve"> </w:t>
      </w:r>
      <w:r w:rsidR="00CF4FEA" w:rsidRPr="00A60765">
        <w:rPr>
          <w:sz w:val="28"/>
          <w:szCs w:val="28"/>
        </w:rPr>
        <w:t>Н</w:t>
      </w:r>
      <w:r w:rsidR="00110CC8" w:rsidRPr="00A60765">
        <w:rPr>
          <w:sz w:val="28"/>
          <w:szCs w:val="28"/>
        </w:rPr>
        <w:t xml:space="preserve">еисполнение </w:t>
      </w:r>
      <w:r w:rsidR="00CF4FEA" w:rsidRPr="00A60765">
        <w:rPr>
          <w:sz w:val="28"/>
          <w:szCs w:val="28"/>
        </w:rPr>
        <w:t>и</w:t>
      </w:r>
      <w:r w:rsidR="00110CC8" w:rsidRPr="00A60765">
        <w:rPr>
          <w:sz w:val="28"/>
          <w:szCs w:val="28"/>
        </w:rPr>
        <w:t>нвестиционной программы по причинам, указанным в п</w:t>
      </w:r>
      <w:r w:rsidR="00CF4FEA" w:rsidRPr="00A60765">
        <w:rPr>
          <w:sz w:val="28"/>
          <w:szCs w:val="28"/>
        </w:rPr>
        <w:t>ункте</w:t>
      </w:r>
      <w:r w:rsidRPr="00A60765">
        <w:rPr>
          <w:sz w:val="28"/>
          <w:szCs w:val="28"/>
        </w:rPr>
        <w:t xml:space="preserve"> 12</w:t>
      </w:r>
      <w:r w:rsidR="005708C2" w:rsidRPr="00A60765">
        <w:rPr>
          <w:sz w:val="28"/>
          <w:szCs w:val="28"/>
        </w:rPr>
        <w:t xml:space="preserve"> </w:t>
      </w:r>
      <w:r w:rsidR="00CF4FEA" w:rsidRPr="00A60765">
        <w:rPr>
          <w:sz w:val="28"/>
          <w:szCs w:val="28"/>
        </w:rPr>
        <w:t xml:space="preserve">настоящего Соглашения, </w:t>
      </w:r>
      <w:r w:rsidR="00110CC8" w:rsidRPr="00A60765">
        <w:rPr>
          <w:sz w:val="28"/>
          <w:szCs w:val="28"/>
        </w:rPr>
        <w:t>не влечет изменения иных обязательств Сторон по настоящему Соглашению при его исполнении.</w:t>
      </w:r>
    </w:p>
    <w:p w:rsidR="00D3507B" w:rsidRPr="00A60765" w:rsidRDefault="00D3507B" w:rsidP="00AF3654">
      <w:pPr>
        <w:pStyle w:val="ConsPlusNormal"/>
        <w:jc w:val="center"/>
        <w:rPr>
          <w:sz w:val="28"/>
          <w:szCs w:val="28"/>
        </w:rPr>
      </w:pPr>
    </w:p>
    <w:p w:rsidR="00D04FEB" w:rsidRPr="00A60765" w:rsidRDefault="00D04FEB" w:rsidP="00AF3654">
      <w:pPr>
        <w:pStyle w:val="ConsPlusNormal"/>
        <w:jc w:val="center"/>
        <w:rPr>
          <w:sz w:val="28"/>
          <w:szCs w:val="28"/>
        </w:rPr>
      </w:pPr>
      <w:r w:rsidRPr="00A60765">
        <w:rPr>
          <w:sz w:val="28"/>
          <w:szCs w:val="28"/>
        </w:rPr>
        <w:t>Министерство ЖКХ и ГЗН                                         ПАО «</w:t>
      </w:r>
      <w:proofErr w:type="spellStart"/>
      <w:r w:rsidRPr="00A60765">
        <w:rPr>
          <w:sz w:val="28"/>
          <w:szCs w:val="28"/>
        </w:rPr>
        <w:t>Россети</w:t>
      </w:r>
      <w:proofErr w:type="spellEnd"/>
      <w:r w:rsidRPr="00A60765">
        <w:rPr>
          <w:sz w:val="28"/>
          <w:szCs w:val="28"/>
        </w:rPr>
        <w:t xml:space="preserve"> Волга»</w:t>
      </w:r>
    </w:p>
    <w:p w:rsidR="00D04FEB" w:rsidRPr="00A60765" w:rsidRDefault="00D04FEB" w:rsidP="00D04FEB">
      <w:pPr>
        <w:pStyle w:val="ConsPlusNormal"/>
        <w:jc w:val="both"/>
        <w:rPr>
          <w:sz w:val="28"/>
          <w:szCs w:val="28"/>
        </w:rPr>
      </w:pPr>
      <w:r w:rsidRPr="00A60765">
        <w:rPr>
          <w:sz w:val="28"/>
          <w:szCs w:val="28"/>
        </w:rPr>
        <w:t xml:space="preserve">            Пензенской области</w:t>
      </w:r>
    </w:p>
    <w:p w:rsidR="00D04FEB" w:rsidRPr="00A60765" w:rsidRDefault="00D04FEB" w:rsidP="00D04FEB">
      <w:pPr>
        <w:pStyle w:val="ConsPlusNormal"/>
        <w:jc w:val="both"/>
      </w:pPr>
    </w:p>
    <w:p w:rsidR="00D04FEB" w:rsidRPr="00A60765" w:rsidRDefault="00D04FEB" w:rsidP="00D04FEB">
      <w:pPr>
        <w:pStyle w:val="ConsPlusNormal"/>
        <w:jc w:val="both"/>
      </w:pPr>
    </w:p>
    <w:p w:rsidR="00D04FEB" w:rsidRPr="00A60765" w:rsidRDefault="00D04FEB" w:rsidP="00D04FEB">
      <w:pPr>
        <w:pStyle w:val="ConsPlusNormal"/>
        <w:jc w:val="both"/>
      </w:pPr>
    </w:p>
    <w:p w:rsidR="00D04FEB" w:rsidRPr="00A60765" w:rsidRDefault="00D04FEB" w:rsidP="00D04FEB">
      <w:pPr>
        <w:pStyle w:val="ConsPlusNormal"/>
        <w:jc w:val="both"/>
        <w:rPr>
          <w:sz w:val="28"/>
        </w:rPr>
      </w:pPr>
      <w:r w:rsidRPr="00A60765">
        <w:rPr>
          <w:sz w:val="28"/>
        </w:rPr>
        <w:t xml:space="preserve">    _____________</w:t>
      </w:r>
      <w:r w:rsidR="00BD60D4" w:rsidRPr="00A60765">
        <w:rPr>
          <w:sz w:val="28"/>
        </w:rPr>
        <w:t>__</w:t>
      </w:r>
      <w:r w:rsidRPr="00A60765">
        <w:rPr>
          <w:sz w:val="28"/>
        </w:rPr>
        <w:t xml:space="preserve">М.А. </w:t>
      </w:r>
      <w:proofErr w:type="spellStart"/>
      <w:r w:rsidRPr="00A60765">
        <w:rPr>
          <w:sz w:val="28"/>
        </w:rPr>
        <w:t>Панюхин</w:t>
      </w:r>
      <w:proofErr w:type="spellEnd"/>
      <w:r w:rsidRPr="00A60765">
        <w:rPr>
          <w:sz w:val="28"/>
        </w:rPr>
        <w:t xml:space="preserve">                      _______________ М.В. Кузьмин</w:t>
      </w:r>
    </w:p>
    <w:p w:rsidR="00D04FEB" w:rsidRPr="00A60765" w:rsidRDefault="00D04FEB" w:rsidP="00D04FEB">
      <w:pPr>
        <w:pStyle w:val="ConsPlusNormal"/>
        <w:jc w:val="both"/>
        <w:rPr>
          <w:sz w:val="16"/>
          <w:szCs w:val="16"/>
        </w:rPr>
      </w:pPr>
      <w:r w:rsidRPr="00A60765">
        <w:rPr>
          <w:sz w:val="16"/>
          <w:szCs w:val="16"/>
        </w:rPr>
        <w:t xml:space="preserve">      </w:t>
      </w:r>
      <w:r w:rsidR="003F2151" w:rsidRPr="00A60765">
        <w:rPr>
          <w:sz w:val="16"/>
          <w:szCs w:val="16"/>
        </w:rPr>
        <w:t xml:space="preserve">                 </w:t>
      </w:r>
      <w:r w:rsidRPr="00A60765">
        <w:rPr>
          <w:sz w:val="16"/>
          <w:szCs w:val="16"/>
        </w:rPr>
        <w:t>М.П.</w:t>
      </w:r>
      <w:r w:rsidRPr="00A60765">
        <w:rPr>
          <w:sz w:val="16"/>
          <w:szCs w:val="16"/>
        </w:rPr>
        <w:tab/>
      </w:r>
      <w:r w:rsidRPr="00A60765">
        <w:rPr>
          <w:sz w:val="16"/>
          <w:szCs w:val="16"/>
        </w:rPr>
        <w:tab/>
      </w:r>
      <w:r w:rsidRPr="00A60765">
        <w:rPr>
          <w:sz w:val="16"/>
          <w:szCs w:val="16"/>
        </w:rPr>
        <w:tab/>
      </w:r>
      <w:r w:rsidRPr="00A60765">
        <w:rPr>
          <w:sz w:val="16"/>
          <w:szCs w:val="16"/>
        </w:rPr>
        <w:tab/>
      </w:r>
      <w:r w:rsidRPr="00A60765">
        <w:rPr>
          <w:sz w:val="16"/>
          <w:szCs w:val="16"/>
        </w:rPr>
        <w:tab/>
      </w:r>
      <w:r w:rsidRPr="00A60765">
        <w:rPr>
          <w:sz w:val="16"/>
          <w:szCs w:val="16"/>
        </w:rPr>
        <w:tab/>
      </w:r>
      <w:r w:rsidRPr="00A60765">
        <w:rPr>
          <w:sz w:val="16"/>
          <w:szCs w:val="16"/>
        </w:rPr>
        <w:tab/>
      </w:r>
      <w:r w:rsidRPr="00A60765">
        <w:rPr>
          <w:sz w:val="16"/>
          <w:szCs w:val="16"/>
        </w:rPr>
        <w:tab/>
        <w:t xml:space="preserve">       М.П.</w:t>
      </w:r>
    </w:p>
    <w:p w:rsidR="005664BE" w:rsidRPr="00A60765" w:rsidRDefault="005664BE" w:rsidP="00585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7AB3" w:rsidRPr="00A60765" w:rsidRDefault="007F7AB3" w:rsidP="00585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7AB3" w:rsidRPr="00A60765" w:rsidRDefault="007F7AB3" w:rsidP="00585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7AB3" w:rsidRPr="00A60765" w:rsidRDefault="007F7AB3" w:rsidP="00585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7AB3" w:rsidRPr="00A60765" w:rsidRDefault="007F7AB3" w:rsidP="00585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4B6C" w:rsidRPr="00A60765" w:rsidRDefault="00954B6C" w:rsidP="00585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4B6C" w:rsidRPr="00A60765" w:rsidRDefault="00954B6C" w:rsidP="00585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4B6C" w:rsidRPr="00A60765" w:rsidRDefault="00954B6C" w:rsidP="00585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DCA" w:rsidRPr="00A60765" w:rsidRDefault="006E0DCA" w:rsidP="00585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DCA" w:rsidRPr="00A60765" w:rsidRDefault="006E0DCA" w:rsidP="00585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DCA" w:rsidRPr="00A60765" w:rsidRDefault="006E0DCA" w:rsidP="00585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DCA" w:rsidRPr="00A60765" w:rsidRDefault="006E0DCA" w:rsidP="00585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DCA" w:rsidRPr="00A60765" w:rsidRDefault="006E0DCA" w:rsidP="00585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DCA" w:rsidRPr="00A60765" w:rsidRDefault="006E0DCA" w:rsidP="00585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7553" w:rsidRPr="00A60765" w:rsidRDefault="00C37553" w:rsidP="00585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7553" w:rsidRPr="00A60765" w:rsidRDefault="00C37553" w:rsidP="00585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3B1F" w:rsidRPr="00A60765" w:rsidRDefault="00073B1F" w:rsidP="00585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503A" w:rsidRPr="00A60765" w:rsidRDefault="003C0AAA" w:rsidP="00585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7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58503A" w:rsidRPr="00A60765" w:rsidRDefault="003C0AAA" w:rsidP="00585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Соглашению</w:t>
      </w:r>
      <w:r w:rsidR="0058503A" w:rsidRPr="00A60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60765">
        <w:rPr>
          <w:rFonts w:ascii="Times New Roman" w:eastAsia="Times New Roman" w:hAnsi="Times New Roman" w:cs="Times New Roman"/>
          <w:color w:val="000000"/>
          <w:sz w:val="24"/>
          <w:szCs w:val="24"/>
        </w:rPr>
        <w:t>об условиях осуществления регулируемых видов деятельности</w:t>
      </w:r>
    </w:p>
    <w:p w:rsidR="003C0AAA" w:rsidRPr="00A60765" w:rsidRDefault="003C0AAA" w:rsidP="00585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____________</w:t>
      </w:r>
    </w:p>
    <w:p w:rsidR="009E2607" w:rsidRPr="00A60765" w:rsidRDefault="009E2607" w:rsidP="001A2A7E">
      <w:pPr>
        <w:pStyle w:val="ConsPlusNormal"/>
        <w:jc w:val="both"/>
      </w:pPr>
    </w:p>
    <w:p w:rsidR="00B14508" w:rsidRPr="00A60765" w:rsidRDefault="00B14508" w:rsidP="00B14508">
      <w:pPr>
        <w:pStyle w:val="ConsPlusNormal"/>
        <w:jc w:val="center"/>
        <w:rPr>
          <w:sz w:val="28"/>
          <w:szCs w:val="28"/>
        </w:rPr>
      </w:pPr>
      <w:r w:rsidRPr="00A60765">
        <w:rPr>
          <w:sz w:val="28"/>
          <w:szCs w:val="28"/>
        </w:rPr>
        <w:t>Диапазоны объемов потребления электрической энергии</w:t>
      </w:r>
      <w:r w:rsidR="007A204C" w:rsidRPr="00A60765">
        <w:rPr>
          <w:sz w:val="28"/>
          <w:szCs w:val="28"/>
        </w:rPr>
        <w:t>, учтенные при расчете единых (котловых) тарифов на услуги по передаче электрической энергии</w:t>
      </w:r>
    </w:p>
    <w:p w:rsidR="00B14508" w:rsidRPr="00A60765" w:rsidRDefault="00B145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9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3635"/>
        <w:gridCol w:w="1840"/>
        <w:gridCol w:w="1721"/>
        <w:gridCol w:w="1706"/>
      </w:tblGrid>
      <w:tr w:rsidR="00B14508" w:rsidRPr="00A60765" w:rsidTr="0058503A">
        <w:trPr>
          <w:trHeight w:val="1515"/>
          <w:tblHeader/>
        </w:trPr>
        <w:tc>
          <w:tcPr>
            <w:tcW w:w="891" w:type="dxa"/>
            <w:shd w:val="clear" w:color="auto" w:fill="auto"/>
            <w:vAlign w:val="center"/>
            <w:hideMark/>
          </w:tcPr>
          <w:p w:rsidR="00B14508" w:rsidRPr="00A60765" w:rsidRDefault="00B1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Категории потребителей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Первый диапазон объемов потребления электрической энергии, </w:t>
            </w:r>
            <w:proofErr w:type="spellStart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кВт·ч</w:t>
            </w:r>
            <w:proofErr w:type="spellEnd"/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Второй диапазон объемов потребления электрической энергии, </w:t>
            </w:r>
            <w:proofErr w:type="spellStart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кВт·ч</w:t>
            </w:r>
            <w:proofErr w:type="spellEnd"/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Третий диапазон объемов  потребления электрической энергии, </w:t>
            </w:r>
            <w:proofErr w:type="spellStart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кВт·ч</w:t>
            </w:r>
            <w:proofErr w:type="spellEnd"/>
          </w:p>
        </w:tc>
      </w:tr>
      <w:tr w:rsidR="00B14508" w:rsidRPr="00A60765" w:rsidTr="0058503A">
        <w:trPr>
          <w:trHeight w:val="2613"/>
        </w:trPr>
        <w:tc>
          <w:tcPr>
            <w:tcW w:w="891" w:type="dxa"/>
            <w:vMerge w:val="restart"/>
            <w:shd w:val="clear" w:color="auto" w:fill="auto"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902" w:type="dxa"/>
            <w:gridSpan w:val="4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Население и приравненные к нему, за исключением населения и потребителей, указанных в строках 2–8:</w:t>
            </w:r>
          </w:p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наймодатели</w:t>
            </w:r>
            <w:proofErr w:type="spellEnd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073B1F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   гарантирующие поставщики, </w:t>
            </w:r>
            <w:proofErr w:type="spellStart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энергосбытовые</w:t>
            </w:r>
            <w:proofErr w:type="spellEnd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энергоснабжающие</w:t>
            </w:r>
            <w:proofErr w:type="spellEnd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</w:t>
            </w:r>
          </w:p>
          <w:p w:rsidR="00073B1F" w:rsidRPr="00A60765" w:rsidRDefault="00073B1F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4508" w:rsidRPr="00A60765" w:rsidTr="0058503A">
        <w:trPr>
          <w:trHeight w:val="454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073B1F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  <w:p w:rsidR="00073B1F" w:rsidRPr="00A60765" w:rsidRDefault="00073B1F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без ограничения пороговым значением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</w:tr>
      <w:tr w:rsidR="00B14508" w:rsidRPr="00A60765" w:rsidTr="0058503A">
        <w:trPr>
          <w:trHeight w:val="43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073B1F" w:rsidRPr="00A60765" w:rsidRDefault="00B14508" w:rsidP="00735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0765">
              <w:rPr>
                <w:rFonts w:ascii="Times New Roman" w:eastAsia="Times New Roman" w:hAnsi="Times New Roman" w:cs="Times New Roman"/>
              </w:rPr>
              <w:t xml:space="preserve">в отношении объемов потребления электрической энергии потребителями, включающими домохозяйства, состоящие из семей, предусмотренных </w:t>
            </w:r>
            <w:r w:rsidR="007359FE" w:rsidRPr="00A60765">
              <w:rPr>
                <w:rFonts w:ascii="Times New Roman" w:eastAsia="Times New Roman" w:hAnsi="Times New Roman" w:cs="Times New Roman"/>
              </w:rPr>
              <w:t>пунктом</w:t>
            </w:r>
            <w:r w:rsidRPr="00A60765">
              <w:rPr>
                <w:rFonts w:ascii="Times New Roman" w:eastAsia="Times New Roman" w:hAnsi="Times New Roman" w:cs="Times New Roman"/>
              </w:rPr>
              <w:t xml:space="preserve"> 1 Указа Президента Российской Федерации </w:t>
            </w:r>
            <w:r w:rsidR="007359FE" w:rsidRPr="00A60765">
              <w:rPr>
                <w:rFonts w:ascii="Times New Roman" w:eastAsia="Times New Roman" w:hAnsi="Times New Roman" w:cs="Times New Roman"/>
              </w:rPr>
              <w:t>от 23.01.2024 г. № 63</w:t>
            </w:r>
            <w:r w:rsidRPr="00A60765">
              <w:rPr>
                <w:rFonts w:ascii="Times New Roman" w:eastAsia="Times New Roman" w:hAnsi="Times New Roman" w:cs="Times New Roman"/>
              </w:rPr>
              <w:t xml:space="preserve"> «О мерах </w:t>
            </w:r>
            <w:r w:rsidR="007359FE" w:rsidRPr="00A60765">
              <w:rPr>
                <w:rFonts w:ascii="Times New Roman" w:eastAsia="Times New Roman" w:hAnsi="Times New Roman" w:cs="Times New Roman"/>
              </w:rPr>
              <w:t>социальной поддержки</w:t>
            </w:r>
            <w:r w:rsidRPr="00A60765">
              <w:rPr>
                <w:rFonts w:ascii="Times New Roman" w:eastAsia="Times New Roman" w:hAnsi="Times New Roman" w:cs="Times New Roman"/>
              </w:rPr>
              <w:t xml:space="preserve"> многодетных семей» </w:t>
            </w:r>
          </w:p>
          <w:p w:rsidR="00073B1F" w:rsidRPr="00A60765" w:rsidRDefault="00073B1F" w:rsidP="00735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без ограничения пороговым значением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</w:tr>
      <w:tr w:rsidR="00B14508" w:rsidRPr="00A60765" w:rsidTr="0058503A">
        <w:trPr>
          <w:trHeight w:val="181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073B1F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в отношении объемов потребления электрической энергии в жилых домах</w:t>
            </w:r>
          </w:p>
          <w:p w:rsidR="00073B1F" w:rsidRPr="00A60765" w:rsidRDefault="00073B1F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до 300 </w:t>
            </w:r>
          </w:p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включительно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301-400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свыше 401</w:t>
            </w:r>
          </w:p>
        </w:tc>
      </w:tr>
      <w:tr w:rsidR="00B14508" w:rsidRPr="00A60765" w:rsidTr="0058503A">
        <w:trPr>
          <w:trHeight w:val="60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в иных случаях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до 300 </w:t>
            </w:r>
          </w:p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включительно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301-400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свыше 401</w:t>
            </w:r>
          </w:p>
        </w:tc>
      </w:tr>
      <w:tr w:rsidR="00B14508" w:rsidRPr="00A60765" w:rsidTr="0058503A">
        <w:trPr>
          <w:trHeight w:val="3248"/>
        </w:trPr>
        <w:tc>
          <w:tcPr>
            <w:tcW w:w="891" w:type="dxa"/>
            <w:vMerge w:val="restart"/>
            <w:shd w:val="clear" w:color="auto" w:fill="auto"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8902" w:type="dxa"/>
            <w:gridSpan w:val="4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наймодатели</w:t>
            </w:r>
            <w:proofErr w:type="spellEnd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   гарантирующие поставщики, </w:t>
            </w:r>
            <w:proofErr w:type="spellStart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энергосбытовые</w:t>
            </w:r>
            <w:proofErr w:type="spellEnd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энергоснабжающие</w:t>
            </w:r>
            <w:proofErr w:type="spellEnd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</w:t>
            </w:r>
          </w:p>
        </w:tc>
      </w:tr>
      <w:tr w:rsidR="00B14508" w:rsidRPr="00A60765" w:rsidTr="0058503A">
        <w:trPr>
          <w:trHeight w:val="901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без ограничения пороговым значением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</w:tr>
      <w:tr w:rsidR="00B14508" w:rsidRPr="00A60765" w:rsidTr="0058503A">
        <w:trPr>
          <w:trHeight w:val="43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322F8E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 отношении объемов потребления электрической энергии потребителями, включающими домохозяйства, состоящие из семей, предусмотренных </w:t>
            </w:r>
            <w:r w:rsidR="007359FE" w:rsidRPr="00A60765">
              <w:rPr>
                <w:rFonts w:ascii="Times New Roman" w:eastAsia="Times New Roman" w:hAnsi="Times New Roman" w:cs="Times New Roman"/>
                <w:color w:val="000000"/>
              </w:rPr>
              <w:t>пунктом</w:t>
            </w: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 1 Указа Президента Российской Федерации </w:t>
            </w:r>
            <w:r w:rsidR="007359FE" w:rsidRPr="00A60765">
              <w:rPr>
                <w:rFonts w:ascii="Times New Roman" w:eastAsia="Times New Roman" w:hAnsi="Times New Roman" w:cs="Times New Roman"/>
                <w:color w:val="000000"/>
              </w:rPr>
              <w:t>от 23.01.2024 г. № 63 «О мерах социальной поддержки многодетных семей»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без ограничения пороговым значением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</w:tr>
      <w:tr w:rsidR="00B14508" w:rsidRPr="00A60765" w:rsidTr="0058503A">
        <w:trPr>
          <w:trHeight w:val="601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в отношении объемов потребления электрической энергии в жилых домах для расчетных периодов (месяцев), относящихся к отопительному периоду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до 3203</w:t>
            </w:r>
          </w:p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включительно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от 3 204 до 3303 включительно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свыше 3304</w:t>
            </w:r>
          </w:p>
        </w:tc>
      </w:tr>
      <w:tr w:rsidR="00B14508" w:rsidRPr="00A60765" w:rsidTr="0058503A">
        <w:trPr>
          <w:trHeight w:val="1265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в отношении объемов потребления электрической энергии в жилых домах для расчетных периодов (месяцев), не относящихся к отопительному периоду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до 400</w:t>
            </w:r>
          </w:p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включительно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от 401 до 500 включительно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свыше 501</w:t>
            </w:r>
          </w:p>
        </w:tc>
      </w:tr>
      <w:tr w:rsidR="00B14508" w:rsidRPr="00A60765" w:rsidTr="0058503A">
        <w:trPr>
          <w:trHeight w:val="181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в иных случаях для расчетных периодов (месяцев), относящихся к отопительному периоду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до 3203</w:t>
            </w:r>
          </w:p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включительно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от 3 204 до 3303 включительно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свыше 3304</w:t>
            </w:r>
          </w:p>
        </w:tc>
      </w:tr>
      <w:tr w:rsidR="00B14508" w:rsidRPr="00A60765" w:rsidTr="0058503A">
        <w:trPr>
          <w:trHeight w:val="60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 иных случаях для расчетных периодов (месяцев), не </w:t>
            </w:r>
            <w:r w:rsidRPr="00A6076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относящихся                                              к отопительному периоду</w:t>
            </w:r>
          </w:p>
          <w:p w:rsidR="00073B1F" w:rsidRPr="00A60765" w:rsidRDefault="00073B1F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 400</w:t>
            </w:r>
          </w:p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включительно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от 401 до 500 включительно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свыше 501</w:t>
            </w:r>
          </w:p>
        </w:tc>
      </w:tr>
      <w:tr w:rsidR="00B14508" w:rsidRPr="00A60765" w:rsidTr="0058503A">
        <w:trPr>
          <w:trHeight w:val="3656"/>
        </w:trPr>
        <w:tc>
          <w:tcPr>
            <w:tcW w:w="891" w:type="dxa"/>
            <w:vMerge w:val="restart"/>
            <w:shd w:val="clear" w:color="auto" w:fill="auto"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8902" w:type="dxa"/>
            <w:gridSpan w:val="4"/>
            <w:shd w:val="clear" w:color="auto" w:fill="auto"/>
            <w:vAlign w:val="center"/>
            <w:hideMark/>
          </w:tcPr>
          <w:p w:rsidR="00073B1F" w:rsidRPr="00A60765" w:rsidRDefault="00073B1F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</w:t>
            </w:r>
            <w:proofErr w:type="gramStart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приравненные</w:t>
            </w:r>
            <w:proofErr w:type="gramEnd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 к нему:</w:t>
            </w:r>
          </w:p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наймодатели</w:t>
            </w:r>
            <w:proofErr w:type="spellEnd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   гарантирующие поставщики, </w:t>
            </w:r>
            <w:proofErr w:type="spellStart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энергосбытовые</w:t>
            </w:r>
            <w:proofErr w:type="spellEnd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энергоснабжающие</w:t>
            </w:r>
            <w:proofErr w:type="spellEnd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</w:t>
            </w:r>
          </w:p>
          <w:p w:rsidR="00073B1F" w:rsidRPr="00A60765" w:rsidRDefault="00073B1F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4508" w:rsidRPr="00A60765" w:rsidTr="0058503A">
        <w:trPr>
          <w:trHeight w:val="60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073B1F" w:rsidRPr="00A60765" w:rsidRDefault="00073B1F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  <w:p w:rsidR="00073B1F" w:rsidRPr="00A60765" w:rsidRDefault="00073B1F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без ограничения пороговым значением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</w:tr>
      <w:tr w:rsidR="00B14508" w:rsidRPr="00A60765" w:rsidTr="0058503A">
        <w:trPr>
          <w:trHeight w:val="2550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в отношении объемов потребления электрической энергии потребителями, включающими домохозяйства, состоящие из</w:t>
            </w:r>
          </w:p>
          <w:p w:rsidR="00B14508" w:rsidRPr="00A60765" w:rsidRDefault="00B14508" w:rsidP="00735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семей, предусмотренных </w:t>
            </w:r>
            <w:r w:rsidR="007359FE" w:rsidRPr="00A60765">
              <w:rPr>
                <w:rFonts w:ascii="Times New Roman" w:eastAsia="Times New Roman" w:hAnsi="Times New Roman" w:cs="Times New Roman"/>
                <w:color w:val="000000"/>
              </w:rPr>
              <w:t>пунктом</w:t>
            </w: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 1 Указа Пр</w:t>
            </w:r>
            <w:r w:rsidR="007359FE" w:rsidRPr="00A60765">
              <w:rPr>
                <w:rFonts w:ascii="Times New Roman" w:eastAsia="Times New Roman" w:hAnsi="Times New Roman" w:cs="Times New Roman"/>
                <w:color w:val="000000"/>
              </w:rPr>
              <w:t>езидента Российской Федерации от 23.01.2024 г. № 63 «О мерах социальной поддержки многодетных семей»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без ограничения пороговым значением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</w:tr>
      <w:tr w:rsidR="00B14508" w:rsidRPr="00A60765" w:rsidTr="0058503A">
        <w:trPr>
          <w:trHeight w:val="60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073B1F" w:rsidRPr="00A60765" w:rsidRDefault="00073B1F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в отношении объемов потребления электрической энергии в жилых домах</w:t>
            </w:r>
          </w:p>
          <w:p w:rsidR="00073B1F" w:rsidRPr="00A60765" w:rsidRDefault="00073B1F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до 400</w:t>
            </w:r>
          </w:p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включительно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от 401 до 500 включительно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свыше 501</w:t>
            </w:r>
          </w:p>
        </w:tc>
      </w:tr>
      <w:tr w:rsidR="00B14508" w:rsidRPr="00A60765" w:rsidTr="0058503A">
        <w:trPr>
          <w:trHeight w:val="785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в иных случаях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до 400</w:t>
            </w:r>
          </w:p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включительно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от 401 до 500 включительно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свыше 501</w:t>
            </w:r>
          </w:p>
        </w:tc>
      </w:tr>
      <w:tr w:rsidR="00B14508" w:rsidRPr="00A60765" w:rsidTr="0058503A">
        <w:trPr>
          <w:trHeight w:val="3040"/>
        </w:trPr>
        <w:tc>
          <w:tcPr>
            <w:tcW w:w="891" w:type="dxa"/>
            <w:vMerge w:val="restart"/>
            <w:shd w:val="clear" w:color="auto" w:fill="auto"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8902" w:type="dxa"/>
            <w:gridSpan w:val="4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наймодатели</w:t>
            </w:r>
            <w:proofErr w:type="spellEnd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   гарантирующие поставщики, </w:t>
            </w:r>
            <w:proofErr w:type="spellStart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энергосбытовые</w:t>
            </w:r>
            <w:proofErr w:type="spellEnd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энергоснабжающие</w:t>
            </w:r>
            <w:proofErr w:type="spellEnd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</w:t>
            </w:r>
          </w:p>
        </w:tc>
      </w:tr>
      <w:tr w:rsidR="00B14508" w:rsidRPr="00A60765" w:rsidTr="0058503A">
        <w:trPr>
          <w:trHeight w:val="60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без ограничения пороговым значением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</w:tr>
      <w:tr w:rsidR="00B14508" w:rsidRPr="00A60765" w:rsidTr="0058503A">
        <w:trPr>
          <w:trHeight w:val="673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735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 отношении объемов потребления электрической энергии потребителями, включающими домохозяйства, состоящие из семей, предусмотренных </w:t>
            </w:r>
            <w:r w:rsidR="007359FE" w:rsidRPr="00A60765">
              <w:rPr>
                <w:rFonts w:ascii="Times New Roman" w:eastAsia="Times New Roman" w:hAnsi="Times New Roman" w:cs="Times New Roman"/>
                <w:color w:val="000000"/>
              </w:rPr>
              <w:t>пунктом</w:t>
            </w: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 1 Указа Президента Российской Федерации </w:t>
            </w:r>
            <w:r w:rsidR="007359FE" w:rsidRPr="00A60765">
              <w:rPr>
                <w:rFonts w:ascii="Times New Roman" w:eastAsia="Times New Roman" w:hAnsi="Times New Roman" w:cs="Times New Roman"/>
                <w:color w:val="000000"/>
              </w:rPr>
              <w:t>от 23.01.2024 г. № 63 «О мерах социальной поддержки многодетных семей»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без ограничения пороговым значением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</w:tr>
      <w:tr w:rsidR="00B14508" w:rsidRPr="00A60765" w:rsidTr="0058503A">
        <w:trPr>
          <w:trHeight w:val="60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в отношении объемов потребления электрической энергии в жилых домах для расчетных периодов (месяцев), относящихся к отопительному периоду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до 3103</w:t>
            </w:r>
          </w:p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включительно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от 3 104 до 3 203 включительно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свыше 3204</w:t>
            </w:r>
          </w:p>
        </w:tc>
      </w:tr>
      <w:tr w:rsidR="00B14508" w:rsidRPr="00A60765" w:rsidTr="0058503A">
        <w:trPr>
          <w:trHeight w:val="948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в отношении объемов потребления электрической энергии в жилых домах для расчетных периодов (месяцев),</w:t>
            </w:r>
          </w:p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не относящихся к отопительному периоду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до 300 </w:t>
            </w:r>
          </w:p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включительно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301-400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свыше 401</w:t>
            </w:r>
          </w:p>
        </w:tc>
      </w:tr>
      <w:tr w:rsidR="00B14508" w:rsidRPr="00A60765" w:rsidTr="0058503A">
        <w:trPr>
          <w:trHeight w:val="60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в иных случаях для расчетных периодов (месяцев), относящихся к отопительному периоду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до 3103</w:t>
            </w:r>
          </w:p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включительно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от 3 104 до 3 203 включительно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свыше 3204</w:t>
            </w:r>
          </w:p>
        </w:tc>
      </w:tr>
      <w:tr w:rsidR="00B14508" w:rsidRPr="00A60765" w:rsidTr="0058503A">
        <w:trPr>
          <w:trHeight w:val="60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 иных случаях для расчетных периодов (месяцев), не </w:t>
            </w:r>
            <w:r w:rsidRPr="00A6076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относящихся                                              к отопительному периоду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до 300 </w:t>
            </w:r>
          </w:p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включительно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301-400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свыше 401</w:t>
            </w:r>
          </w:p>
        </w:tc>
      </w:tr>
      <w:tr w:rsidR="00B14508" w:rsidRPr="00A60765" w:rsidTr="0058503A">
        <w:trPr>
          <w:trHeight w:val="4488"/>
        </w:trPr>
        <w:tc>
          <w:tcPr>
            <w:tcW w:w="891" w:type="dxa"/>
            <w:vMerge w:val="restart"/>
            <w:shd w:val="clear" w:color="auto" w:fill="auto"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8902" w:type="dxa"/>
            <w:gridSpan w:val="4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наймодатели</w:t>
            </w:r>
            <w:proofErr w:type="spellEnd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гарантирующие поставщики, </w:t>
            </w:r>
            <w:proofErr w:type="spellStart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энергосбытовые</w:t>
            </w:r>
            <w:proofErr w:type="spellEnd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энергоснабжающие</w:t>
            </w:r>
            <w:proofErr w:type="spellEnd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</w:t>
            </w:r>
          </w:p>
        </w:tc>
      </w:tr>
      <w:tr w:rsidR="00B14508" w:rsidRPr="00A60765" w:rsidTr="0058503A">
        <w:trPr>
          <w:trHeight w:val="43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без ограничения пороговым значением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</w:tr>
      <w:tr w:rsidR="00B14508" w:rsidRPr="00A60765" w:rsidTr="0058503A">
        <w:trPr>
          <w:trHeight w:val="43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735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 отношении объемов потребления электрической энергии потребителями, включающими домохозяйства, состоящие из семей, предусмотренных </w:t>
            </w:r>
            <w:r w:rsidR="007359FE" w:rsidRPr="00A60765">
              <w:rPr>
                <w:rFonts w:ascii="Times New Roman" w:eastAsia="Times New Roman" w:hAnsi="Times New Roman" w:cs="Times New Roman"/>
                <w:color w:val="000000"/>
              </w:rPr>
              <w:t>пунктом</w:t>
            </w: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 1 Указа Президента Российской Федерации </w:t>
            </w:r>
            <w:r w:rsidR="007359FE" w:rsidRPr="00A60765">
              <w:rPr>
                <w:rFonts w:ascii="Times New Roman" w:eastAsia="Times New Roman" w:hAnsi="Times New Roman" w:cs="Times New Roman"/>
                <w:color w:val="000000"/>
              </w:rPr>
              <w:t>от 23.01.2024 г. № 63 «О мерах социальной поддержки многодетных семей»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без ограничения пороговым значением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</w:tr>
      <w:tr w:rsidR="00B14508" w:rsidRPr="00A60765" w:rsidTr="0058503A">
        <w:trPr>
          <w:trHeight w:val="60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в отношении объемов потребления электрической энергии в жилых домах для расчетных периодов (месяцев), относящихся к отопительному периоду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до 3203</w:t>
            </w:r>
          </w:p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включительно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от 3 204 до 3303 включительно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свыше 3304</w:t>
            </w:r>
          </w:p>
        </w:tc>
      </w:tr>
      <w:tr w:rsidR="00B14508" w:rsidRPr="00A60765" w:rsidTr="0058503A">
        <w:trPr>
          <w:trHeight w:val="43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в отношении объемов потребления электрической энергии в жилых домах для расчетных периодов (месяцев),</w:t>
            </w:r>
          </w:p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не относящихся к отопительному периоду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до 400</w:t>
            </w:r>
          </w:p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включительно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от 401 до 500 включительно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свыше 501</w:t>
            </w:r>
          </w:p>
        </w:tc>
      </w:tr>
      <w:tr w:rsidR="00B14508" w:rsidRPr="00A60765" w:rsidTr="0058503A">
        <w:trPr>
          <w:trHeight w:val="88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в иных случаях для расчетных периодов (месяцев), относящихся к отопительному периоду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до 3203</w:t>
            </w:r>
          </w:p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включительно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от 3 204 до 3303 включительно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свыше 3304</w:t>
            </w:r>
          </w:p>
        </w:tc>
      </w:tr>
      <w:tr w:rsidR="00B14508" w:rsidRPr="00A60765" w:rsidTr="0058503A">
        <w:trPr>
          <w:trHeight w:val="43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073B1F" w:rsidRPr="00A60765" w:rsidRDefault="00073B1F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в иных случаях для расчетных периодов (месяцев), не относящихся                                              к отопительному периоду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до 400</w:t>
            </w:r>
          </w:p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включительно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от 401 до 500 включительно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свыше 501</w:t>
            </w:r>
          </w:p>
        </w:tc>
      </w:tr>
      <w:tr w:rsidR="00B14508" w:rsidRPr="00A60765" w:rsidTr="0058503A">
        <w:trPr>
          <w:trHeight w:val="3388"/>
        </w:trPr>
        <w:tc>
          <w:tcPr>
            <w:tcW w:w="891" w:type="dxa"/>
            <w:vMerge w:val="restart"/>
            <w:shd w:val="clear" w:color="auto" w:fill="auto"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902" w:type="dxa"/>
            <w:gridSpan w:val="4"/>
            <w:shd w:val="clear" w:color="auto" w:fill="auto"/>
            <w:vAlign w:val="center"/>
            <w:hideMark/>
          </w:tcPr>
          <w:p w:rsidR="00073B1F" w:rsidRPr="00A60765" w:rsidRDefault="00073B1F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</w:t>
            </w:r>
            <w:proofErr w:type="gramStart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приравненные</w:t>
            </w:r>
            <w:proofErr w:type="gramEnd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 к нему:</w:t>
            </w:r>
          </w:p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наймодатели</w:t>
            </w:r>
            <w:proofErr w:type="spellEnd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гарантирующие поставщики, </w:t>
            </w:r>
            <w:proofErr w:type="spellStart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энергосбытовые</w:t>
            </w:r>
            <w:proofErr w:type="spellEnd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энергоснабжающие</w:t>
            </w:r>
            <w:proofErr w:type="spellEnd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</w:t>
            </w:r>
          </w:p>
          <w:p w:rsidR="00073B1F" w:rsidRPr="00A60765" w:rsidRDefault="00073B1F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4508" w:rsidRPr="00A60765" w:rsidTr="0058503A">
        <w:trPr>
          <w:trHeight w:val="43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  <w:p w:rsidR="00073B1F" w:rsidRPr="00A60765" w:rsidRDefault="00073B1F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без ограничения пороговым значением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</w:tr>
      <w:tr w:rsidR="00B14508" w:rsidRPr="00A60765" w:rsidTr="0058503A">
        <w:trPr>
          <w:trHeight w:val="43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735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в отношении объемов потребления электрической энергии потребителями, включающими домохозяйства, состоящие из семей, предусмотренных пункт</w:t>
            </w:r>
            <w:r w:rsidR="007359FE" w:rsidRPr="00A60765"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 1 Указа Президента Российской Федерации </w:t>
            </w:r>
            <w:r w:rsidR="007359FE" w:rsidRPr="00A60765">
              <w:rPr>
                <w:rFonts w:ascii="Times New Roman" w:eastAsia="Times New Roman" w:hAnsi="Times New Roman" w:cs="Times New Roman"/>
                <w:color w:val="000000"/>
              </w:rPr>
              <w:t>от 23.01.2024 г. № 63 «О мерах социальной поддержки многодетных семей»</w:t>
            </w:r>
          </w:p>
          <w:p w:rsidR="00073B1F" w:rsidRPr="00A60765" w:rsidRDefault="00073B1F" w:rsidP="00735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без ограничения пороговым значением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</w:tr>
      <w:tr w:rsidR="00B14508" w:rsidRPr="00A60765" w:rsidTr="0058503A">
        <w:trPr>
          <w:trHeight w:val="60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в отношении объемов потребления электрической энергии в жилых домах</w:t>
            </w:r>
          </w:p>
          <w:p w:rsidR="00073B1F" w:rsidRPr="00A60765" w:rsidRDefault="00073B1F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до 400</w:t>
            </w:r>
          </w:p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включительно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от 401 до 500 включительно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свыше 501</w:t>
            </w:r>
          </w:p>
        </w:tc>
      </w:tr>
      <w:tr w:rsidR="00B14508" w:rsidRPr="00A60765" w:rsidTr="0058503A">
        <w:trPr>
          <w:trHeight w:val="785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в иных случаях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до 400</w:t>
            </w:r>
          </w:p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включительно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от 401 до 500 включительно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свыше 501</w:t>
            </w:r>
          </w:p>
        </w:tc>
      </w:tr>
      <w:tr w:rsidR="00B14508" w:rsidRPr="00A60765" w:rsidTr="0058503A">
        <w:trPr>
          <w:trHeight w:val="2058"/>
        </w:trPr>
        <w:tc>
          <w:tcPr>
            <w:tcW w:w="891" w:type="dxa"/>
            <w:vMerge w:val="restart"/>
            <w:shd w:val="clear" w:color="auto" w:fill="auto"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8902" w:type="dxa"/>
            <w:gridSpan w:val="4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наймодатели</w:t>
            </w:r>
            <w:proofErr w:type="spellEnd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гарантирующие поставщики, </w:t>
            </w:r>
            <w:proofErr w:type="spellStart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энергосбытовые</w:t>
            </w:r>
            <w:proofErr w:type="spellEnd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энергоснабжающие</w:t>
            </w:r>
            <w:proofErr w:type="spellEnd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</w:t>
            </w:r>
          </w:p>
          <w:p w:rsidR="00073B1F" w:rsidRPr="00A60765" w:rsidRDefault="00073B1F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4508" w:rsidRPr="00A60765" w:rsidTr="0058503A">
        <w:trPr>
          <w:trHeight w:val="136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073B1F" w:rsidRPr="00A60765" w:rsidRDefault="00073B1F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  <w:p w:rsidR="00073B1F" w:rsidRPr="00A60765" w:rsidRDefault="00073B1F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без ограничения пороговым значением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</w:tr>
      <w:tr w:rsidR="00B14508" w:rsidRPr="00A60765" w:rsidTr="0058503A">
        <w:trPr>
          <w:trHeight w:val="293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073B1F" w:rsidRPr="00A60765" w:rsidRDefault="00073B1F" w:rsidP="00735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14508" w:rsidRPr="00A60765" w:rsidRDefault="00B14508" w:rsidP="00735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 отношении объемов потребления электрической энергии потребителями, включающими домохозяйства, состоящие из семей, предусмотренных </w:t>
            </w:r>
            <w:r w:rsidR="007359FE" w:rsidRPr="00A60765">
              <w:rPr>
                <w:rFonts w:ascii="Times New Roman" w:eastAsia="Times New Roman" w:hAnsi="Times New Roman" w:cs="Times New Roman"/>
                <w:color w:val="000000"/>
              </w:rPr>
              <w:t>пунктом</w:t>
            </w: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 1 Указа Президента Российской Федерации </w:t>
            </w:r>
            <w:r w:rsidR="007359FE" w:rsidRPr="00A60765">
              <w:rPr>
                <w:rFonts w:ascii="Times New Roman" w:eastAsia="Times New Roman" w:hAnsi="Times New Roman" w:cs="Times New Roman"/>
                <w:color w:val="000000"/>
              </w:rPr>
              <w:t>от 23.01.2024 г. № 63 «О мерах социальной поддержки многодетных семей»</w:t>
            </w:r>
          </w:p>
          <w:p w:rsidR="00073B1F" w:rsidRPr="00A60765" w:rsidRDefault="00073B1F" w:rsidP="00735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без ограничения пороговым значением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</w:tr>
      <w:tr w:rsidR="00B14508" w:rsidRPr="00A60765" w:rsidTr="0058503A">
        <w:trPr>
          <w:trHeight w:val="2645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в отношении объемов потребления электрической энергии в жилых домах для расчетных периодов (месяцев), относящихся к отопительному периоду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до 3103</w:t>
            </w:r>
          </w:p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включительно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от 3 104 до 3 203 включительно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свыше 3204</w:t>
            </w:r>
          </w:p>
        </w:tc>
      </w:tr>
      <w:tr w:rsidR="00B14508" w:rsidRPr="00A60765" w:rsidTr="0058503A">
        <w:trPr>
          <w:trHeight w:val="1538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в отношении объемов потребления электрической энергии в жилых домах для расчетных периодов (месяцев),</w:t>
            </w:r>
          </w:p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не относящихся к отопительному периоду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до 300 </w:t>
            </w:r>
          </w:p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включительно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301-400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свыше 401</w:t>
            </w:r>
          </w:p>
        </w:tc>
      </w:tr>
      <w:tr w:rsidR="00B14508" w:rsidRPr="00A60765" w:rsidTr="0058503A">
        <w:trPr>
          <w:trHeight w:val="441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в иных случаях для расчетных периодов (месяцев), относящихся к отопительному периоду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до 3103</w:t>
            </w:r>
          </w:p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включительно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от 3 104 до 3 203 включительно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свыше 3204</w:t>
            </w:r>
          </w:p>
        </w:tc>
      </w:tr>
      <w:tr w:rsidR="00B14508" w:rsidRPr="00A60765" w:rsidTr="0058503A">
        <w:trPr>
          <w:trHeight w:val="43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в иных случаях для расчетных периодов (месяцев), не относящихся                                              к отопительному периоду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до 300 </w:t>
            </w:r>
          </w:p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включительно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301-400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свыше 401</w:t>
            </w:r>
          </w:p>
        </w:tc>
      </w:tr>
      <w:tr w:rsidR="00B14508" w:rsidRPr="00A60765" w:rsidTr="0058503A">
        <w:trPr>
          <w:trHeight w:val="2735"/>
        </w:trPr>
        <w:tc>
          <w:tcPr>
            <w:tcW w:w="891" w:type="dxa"/>
            <w:vMerge w:val="restart"/>
            <w:shd w:val="clear" w:color="auto" w:fill="auto"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902" w:type="dxa"/>
            <w:gridSpan w:val="4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Население, проживающее в сельских населенных пунктах, и приравненные к нему, за исключением населения и потребителей, указанных в строках 5–7:</w:t>
            </w:r>
          </w:p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наймодатели</w:t>
            </w:r>
            <w:proofErr w:type="spellEnd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гарантирующие поставщики, </w:t>
            </w:r>
            <w:proofErr w:type="spellStart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энергосбытовые</w:t>
            </w:r>
            <w:proofErr w:type="spellEnd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энергоснабжающие</w:t>
            </w:r>
            <w:proofErr w:type="spellEnd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</w:t>
            </w:r>
          </w:p>
        </w:tc>
      </w:tr>
      <w:tr w:rsidR="00B14508" w:rsidRPr="00A60765" w:rsidTr="0058503A">
        <w:trPr>
          <w:trHeight w:val="356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без ограничения пороговым значением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</w:tr>
      <w:tr w:rsidR="00B14508" w:rsidRPr="00A60765" w:rsidTr="0058503A">
        <w:trPr>
          <w:trHeight w:val="43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735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 отношении объемов потребления электрической энергии потребителями, включающими домохозяйства, состоящие из семей, предусмотренных </w:t>
            </w:r>
            <w:r w:rsidR="007359FE" w:rsidRPr="00A60765">
              <w:rPr>
                <w:rFonts w:ascii="Times New Roman" w:eastAsia="Times New Roman" w:hAnsi="Times New Roman" w:cs="Times New Roman"/>
                <w:color w:val="000000"/>
              </w:rPr>
              <w:t>пунктом</w:t>
            </w: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 1 Указа Президента Российской Федерации </w:t>
            </w:r>
            <w:r w:rsidR="007359FE" w:rsidRPr="00A60765">
              <w:rPr>
                <w:rFonts w:ascii="Times New Roman" w:eastAsia="Times New Roman" w:hAnsi="Times New Roman" w:cs="Times New Roman"/>
                <w:color w:val="000000"/>
              </w:rPr>
              <w:t>от 23.01.2024 г. № 63 «О мерах социальной поддержки многодетных семей»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без ограничения пороговым значением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</w:tr>
      <w:tr w:rsidR="00B14508" w:rsidRPr="00A60765" w:rsidTr="0058503A">
        <w:trPr>
          <w:trHeight w:val="60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в отношении объемов потребления электрической энергии в жилых домах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до 300 </w:t>
            </w:r>
          </w:p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включительно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301-400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свыше 401</w:t>
            </w:r>
          </w:p>
        </w:tc>
      </w:tr>
      <w:tr w:rsidR="00B14508" w:rsidRPr="00A60765" w:rsidTr="0058503A">
        <w:trPr>
          <w:trHeight w:val="60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в иных случаях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до 300 </w:t>
            </w:r>
          </w:p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включительно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301-400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свыше 401</w:t>
            </w:r>
          </w:p>
        </w:tc>
      </w:tr>
      <w:tr w:rsidR="00B14508" w:rsidRPr="00A60765" w:rsidTr="0058503A">
        <w:trPr>
          <w:trHeight w:val="60"/>
        </w:trPr>
        <w:tc>
          <w:tcPr>
            <w:tcW w:w="891" w:type="dxa"/>
            <w:shd w:val="clear" w:color="auto" w:fill="auto"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8902" w:type="dxa"/>
            <w:gridSpan w:val="4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Потребители, приравненные к населению:</w:t>
            </w:r>
          </w:p>
        </w:tc>
      </w:tr>
      <w:tr w:rsidR="00B14508" w:rsidRPr="00A60765" w:rsidTr="0058503A">
        <w:trPr>
          <w:trHeight w:val="5454"/>
        </w:trPr>
        <w:tc>
          <w:tcPr>
            <w:tcW w:w="891" w:type="dxa"/>
            <w:vMerge w:val="restart"/>
            <w:shd w:val="clear" w:color="auto" w:fill="auto"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9.1</w:t>
            </w:r>
          </w:p>
        </w:tc>
        <w:tc>
          <w:tcPr>
            <w:tcW w:w="8902" w:type="dxa"/>
            <w:gridSpan w:val="4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</w:t>
            </w:r>
            <w:proofErr w:type="spellStart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наймодатели</w:t>
            </w:r>
            <w:proofErr w:type="spellEnd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 </w:t>
            </w:r>
            <w:proofErr w:type="spellStart"/>
            <w:proofErr w:type="gramStart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наймодателей</w:t>
            </w:r>
            <w:proofErr w:type="spellEnd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</w:t>
            </w:r>
            <w:proofErr w:type="gramEnd"/>
            <w:r w:rsidRPr="00A60765">
              <w:rPr>
                <w:rFonts w:ascii="Times New Roman" w:eastAsia="Times New Roman" w:hAnsi="Times New Roman" w:cs="Times New Roman"/>
                <w:color w:val="000000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</w:t>
            </w:r>
          </w:p>
        </w:tc>
      </w:tr>
      <w:tr w:rsidR="00B14508" w:rsidRPr="00A60765" w:rsidTr="0058503A">
        <w:trPr>
          <w:trHeight w:val="60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на одно помещение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до 300 </w:t>
            </w:r>
          </w:p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включительно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301-400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свыше 401</w:t>
            </w:r>
          </w:p>
        </w:tc>
      </w:tr>
      <w:tr w:rsidR="00B14508" w:rsidRPr="00A60765" w:rsidTr="0058503A">
        <w:trPr>
          <w:trHeight w:val="390"/>
        </w:trPr>
        <w:tc>
          <w:tcPr>
            <w:tcW w:w="891" w:type="dxa"/>
            <w:vMerge w:val="restart"/>
            <w:shd w:val="clear" w:color="auto" w:fill="auto"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9.2</w:t>
            </w:r>
          </w:p>
        </w:tc>
        <w:tc>
          <w:tcPr>
            <w:tcW w:w="8902" w:type="dxa"/>
            <w:gridSpan w:val="4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Садоводческие некоммерческие товарищества и огороднические некоммерческие товарищества</w:t>
            </w:r>
          </w:p>
        </w:tc>
      </w:tr>
      <w:tr w:rsidR="00B14508" w:rsidRPr="00A60765" w:rsidTr="0058503A">
        <w:trPr>
          <w:trHeight w:val="397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на один садовый земельный участок или огородный земельный участок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до 300 </w:t>
            </w:r>
          </w:p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включительно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301-400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свыше 401</w:t>
            </w:r>
          </w:p>
        </w:tc>
      </w:tr>
      <w:tr w:rsidR="00B14508" w:rsidRPr="00A60765" w:rsidTr="0058503A">
        <w:trPr>
          <w:trHeight w:val="60"/>
        </w:trPr>
        <w:tc>
          <w:tcPr>
            <w:tcW w:w="891" w:type="dxa"/>
            <w:vMerge w:val="restart"/>
            <w:shd w:val="clear" w:color="auto" w:fill="auto"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9.3</w:t>
            </w:r>
          </w:p>
        </w:tc>
        <w:tc>
          <w:tcPr>
            <w:tcW w:w="8902" w:type="dxa"/>
            <w:gridSpan w:val="4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Юридические лица, приобретающие электрическую энергию (мощность) в целях потребления осужденными в помещениях для их содержания при условии наличия раздельного учета электрической энергии для указанных помещений</w:t>
            </w:r>
          </w:p>
        </w:tc>
      </w:tr>
      <w:tr w:rsidR="00B14508" w:rsidRPr="00A60765" w:rsidTr="0058503A">
        <w:trPr>
          <w:trHeight w:val="60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на одно помещение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до 300 </w:t>
            </w:r>
          </w:p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включительно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301-400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свыше 401</w:t>
            </w:r>
          </w:p>
        </w:tc>
      </w:tr>
      <w:tr w:rsidR="00B14508" w:rsidRPr="00A60765" w:rsidTr="0058503A">
        <w:trPr>
          <w:trHeight w:val="1125"/>
        </w:trPr>
        <w:tc>
          <w:tcPr>
            <w:tcW w:w="891" w:type="dxa"/>
            <w:vMerge w:val="restart"/>
            <w:shd w:val="clear" w:color="auto" w:fill="auto"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9.4</w:t>
            </w:r>
          </w:p>
        </w:tc>
        <w:tc>
          <w:tcPr>
            <w:tcW w:w="8902" w:type="dxa"/>
            <w:gridSpan w:val="4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Юридические и физические лица, приобретающие электрическую энергию (мощность) в целях потребления на коммунально-бытовые нужды в населенных пунктах и жилых зонах при воинских частях и рассчитывающиеся по договору энергоснабжения по показаниям общего прибора учета электрической энергии</w:t>
            </w:r>
          </w:p>
        </w:tc>
      </w:tr>
      <w:tr w:rsidR="00B14508" w:rsidRPr="00A60765" w:rsidTr="0058503A">
        <w:trPr>
          <w:trHeight w:val="60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на один общий прибор учета электрической энергии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до 300 </w:t>
            </w:r>
          </w:p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включительно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301-400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свыше 401</w:t>
            </w:r>
          </w:p>
        </w:tc>
      </w:tr>
      <w:tr w:rsidR="00B14508" w:rsidRPr="00A60765" w:rsidTr="0058503A">
        <w:trPr>
          <w:trHeight w:val="60"/>
        </w:trPr>
        <w:tc>
          <w:tcPr>
            <w:tcW w:w="891" w:type="dxa"/>
            <w:vMerge w:val="restart"/>
            <w:shd w:val="clear" w:color="auto" w:fill="auto"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8902" w:type="dxa"/>
            <w:gridSpan w:val="4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Содержащиеся за счет прихожан религиозные организации</w:t>
            </w:r>
          </w:p>
        </w:tc>
      </w:tr>
      <w:tr w:rsidR="00B14508" w:rsidRPr="00A60765" w:rsidTr="0058503A">
        <w:trPr>
          <w:trHeight w:val="785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на одно помещение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до 50 000</w:t>
            </w:r>
          </w:p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включительно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от 50 000 до 100 000 включительно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свыше 100 000</w:t>
            </w:r>
          </w:p>
        </w:tc>
      </w:tr>
      <w:tr w:rsidR="00B14508" w:rsidRPr="00A60765" w:rsidTr="0058503A">
        <w:trPr>
          <w:trHeight w:val="332"/>
        </w:trPr>
        <w:tc>
          <w:tcPr>
            <w:tcW w:w="891" w:type="dxa"/>
            <w:vMerge w:val="restart"/>
            <w:shd w:val="clear" w:color="auto" w:fill="auto"/>
            <w:vAlign w:val="center"/>
            <w:hideMark/>
          </w:tcPr>
          <w:p w:rsidR="00B14508" w:rsidRPr="00A60765" w:rsidRDefault="00B14508" w:rsidP="0058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9.6</w:t>
            </w:r>
          </w:p>
        </w:tc>
        <w:tc>
          <w:tcPr>
            <w:tcW w:w="8902" w:type="dxa"/>
            <w:gridSpan w:val="4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Объединения граждан, приобретающих электрическую энергию (мощность) для использования в принадлежащих им хозяйственных постройках (погреба, сараи).</w:t>
            </w:r>
          </w:p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   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</w:t>
            </w:r>
          </w:p>
        </w:tc>
      </w:tr>
      <w:tr w:rsidR="00B14508" w:rsidRPr="00A60765" w:rsidTr="0058503A">
        <w:trPr>
          <w:trHeight w:val="60"/>
        </w:trPr>
        <w:tc>
          <w:tcPr>
            <w:tcW w:w="891" w:type="dxa"/>
            <w:vMerge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5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на один гараж, хозяйственную постройку (сарай, погреб)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до 300 </w:t>
            </w:r>
          </w:p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 xml:space="preserve">включительно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301-400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B14508" w:rsidRPr="00A60765" w:rsidRDefault="00B14508" w:rsidP="00D1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</w:rPr>
              <w:t>свыше 401</w:t>
            </w:r>
          </w:p>
        </w:tc>
      </w:tr>
    </w:tbl>
    <w:p w:rsidR="003C0AAA" w:rsidRPr="00A60765" w:rsidRDefault="003C0A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07E3" w:rsidRPr="00A60765" w:rsidRDefault="002D07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07E3" w:rsidRPr="00A60765" w:rsidRDefault="002D07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AAA" w:rsidRPr="00A60765" w:rsidRDefault="003C0AAA" w:rsidP="001A2A7E">
      <w:pPr>
        <w:pStyle w:val="ConsPlusNormal"/>
        <w:jc w:val="both"/>
      </w:pPr>
      <w:r w:rsidRPr="00A60765">
        <w:rPr>
          <w:sz w:val="28"/>
        </w:rPr>
        <w:t xml:space="preserve"> </w:t>
      </w:r>
    </w:p>
    <w:p w:rsidR="006854D3" w:rsidRPr="00A60765" w:rsidRDefault="006854D3" w:rsidP="006854D3">
      <w:pPr>
        <w:pStyle w:val="ConsPlusNormal"/>
        <w:jc w:val="both"/>
      </w:pPr>
      <w:r w:rsidRPr="00A60765">
        <w:t>Министерство ЖКХ и ГЗН                                         ПАО «</w:t>
      </w:r>
      <w:proofErr w:type="spellStart"/>
      <w:r w:rsidRPr="00A60765">
        <w:t>Россети</w:t>
      </w:r>
      <w:proofErr w:type="spellEnd"/>
      <w:r w:rsidRPr="00A60765">
        <w:t xml:space="preserve"> Волга»</w:t>
      </w:r>
    </w:p>
    <w:p w:rsidR="006854D3" w:rsidRPr="00A60765" w:rsidRDefault="006854D3" w:rsidP="006854D3">
      <w:pPr>
        <w:pStyle w:val="ConsPlusNormal"/>
        <w:jc w:val="both"/>
      </w:pPr>
      <w:r w:rsidRPr="00A60765">
        <w:t xml:space="preserve">      Пензенской области</w:t>
      </w:r>
    </w:p>
    <w:p w:rsidR="006854D3" w:rsidRPr="00A60765" w:rsidRDefault="006854D3" w:rsidP="006854D3">
      <w:pPr>
        <w:pStyle w:val="ConsPlusNormal"/>
        <w:jc w:val="both"/>
      </w:pPr>
    </w:p>
    <w:p w:rsidR="006854D3" w:rsidRPr="00A60765" w:rsidRDefault="006854D3" w:rsidP="006854D3">
      <w:pPr>
        <w:pStyle w:val="ConsPlusNormal"/>
        <w:jc w:val="both"/>
      </w:pPr>
    </w:p>
    <w:p w:rsidR="006854D3" w:rsidRPr="00A60765" w:rsidRDefault="006854D3" w:rsidP="006854D3">
      <w:pPr>
        <w:pStyle w:val="ConsPlusNormal"/>
        <w:jc w:val="both"/>
      </w:pPr>
    </w:p>
    <w:p w:rsidR="006854D3" w:rsidRPr="00A60765" w:rsidRDefault="006854D3" w:rsidP="006854D3">
      <w:pPr>
        <w:pStyle w:val="ConsPlusNormal"/>
        <w:jc w:val="both"/>
      </w:pPr>
      <w:r w:rsidRPr="00A60765">
        <w:t xml:space="preserve">_______________М.А. </w:t>
      </w:r>
      <w:proofErr w:type="spellStart"/>
      <w:r w:rsidRPr="00A60765">
        <w:t>Панюхин</w:t>
      </w:r>
      <w:proofErr w:type="spellEnd"/>
      <w:r w:rsidRPr="00A60765">
        <w:t xml:space="preserve">                             _______________ М.В. Кузьмин</w:t>
      </w:r>
    </w:p>
    <w:p w:rsidR="009E2607" w:rsidRPr="00A60765" w:rsidRDefault="006854D3" w:rsidP="006854D3">
      <w:pPr>
        <w:pStyle w:val="ConsPlusNormal"/>
        <w:jc w:val="both"/>
      </w:pPr>
      <w:r w:rsidRPr="00A60765">
        <w:t xml:space="preserve">               М.П.</w:t>
      </w:r>
      <w:r w:rsidRPr="00A60765">
        <w:tab/>
      </w:r>
      <w:r w:rsidRPr="00A60765">
        <w:tab/>
      </w:r>
      <w:r w:rsidRPr="00A60765">
        <w:tab/>
      </w:r>
      <w:r w:rsidRPr="00A60765">
        <w:tab/>
      </w:r>
      <w:r w:rsidRPr="00A60765">
        <w:tab/>
      </w:r>
      <w:r w:rsidRPr="00A60765">
        <w:tab/>
        <w:t xml:space="preserve">              М.П.</w:t>
      </w:r>
    </w:p>
    <w:p w:rsidR="00B14508" w:rsidRPr="00A60765" w:rsidRDefault="00B14508" w:rsidP="001A2A7E">
      <w:pPr>
        <w:pStyle w:val="ConsPlusNormal"/>
        <w:jc w:val="both"/>
      </w:pPr>
    </w:p>
    <w:p w:rsidR="00B14508" w:rsidRPr="00A60765" w:rsidRDefault="00B14508" w:rsidP="001A2A7E">
      <w:pPr>
        <w:pStyle w:val="ConsPlusNormal"/>
        <w:jc w:val="both"/>
      </w:pPr>
    </w:p>
    <w:p w:rsidR="00B14508" w:rsidRPr="00A60765" w:rsidRDefault="00B14508" w:rsidP="001A2A7E">
      <w:pPr>
        <w:pStyle w:val="ConsPlusNormal"/>
        <w:jc w:val="both"/>
      </w:pPr>
    </w:p>
    <w:p w:rsidR="00B14508" w:rsidRPr="00A60765" w:rsidRDefault="00B14508" w:rsidP="001A2A7E">
      <w:pPr>
        <w:pStyle w:val="ConsPlusNormal"/>
        <w:jc w:val="both"/>
      </w:pPr>
    </w:p>
    <w:p w:rsidR="00B14508" w:rsidRPr="00A60765" w:rsidRDefault="00B14508" w:rsidP="001A2A7E">
      <w:pPr>
        <w:pStyle w:val="ConsPlusNormal"/>
        <w:jc w:val="both"/>
      </w:pPr>
    </w:p>
    <w:p w:rsidR="00B14508" w:rsidRPr="00A60765" w:rsidRDefault="00B14508" w:rsidP="001A2A7E">
      <w:pPr>
        <w:pStyle w:val="ConsPlusNormal"/>
        <w:jc w:val="both"/>
      </w:pPr>
    </w:p>
    <w:p w:rsidR="00B14508" w:rsidRPr="00A60765" w:rsidRDefault="00B14508" w:rsidP="001A2A7E">
      <w:pPr>
        <w:pStyle w:val="ConsPlusNormal"/>
        <w:jc w:val="both"/>
      </w:pPr>
    </w:p>
    <w:p w:rsidR="00B14508" w:rsidRPr="00A60765" w:rsidRDefault="00B14508" w:rsidP="001A2A7E">
      <w:pPr>
        <w:pStyle w:val="ConsPlusNormal"/>
        <w:jc w:val="both"/>
      </w:pPr>
    </w:p>
    <w:p w:rsidR="00B14508" w:rsidRPr="00A60765" w:rsidRDefault="00B14508" w:rsidP="001A2A7E">
      <w:pPr>
        <w:pStyle w:val="ConsPlusNormal"/>
        <w:jc w:val="both"/>
      </w:pPr>
    </w:p>
    <w:p w:rsidR="00B14508" w:rsidRPr="00A60765" w:rsidRDefault="00B14508" w:rsidP="001A2A7E">
      <w:pPr>
        <w:pStyle w:val="ConsPlusNormal"/>
        <w:jc w:val="both"/>
      </w:pPr>
    </w:p>
    <w:p w:rsidR="00B14508" w:rsidRPr="00A60765" w:rsidRDefault="00B14508" w:rsidP="001A2A7E">
      <w:pPr>
        <w:pStyle w:val="ConsPlusNormal"/>
        <w:jc w:val="both"/>
      </w:pPr>
    </w:p>
    <w:p w:rsidR="00B14508" w:rsidRPr="00A60765" w:rsidRDefault="00B14508" w:rsidP="001A2A7E">
      <w:pPr>
        <w:pStyle w:val="ConsPlusNormal"/>
        <w:jc w:val="both"/>
      </w:pPr>
    </w:p>
    <w:p w:rsidR="00B14508" w:rsidRPr="00A60765" w:rsidRDefault="00B14508" w:rsidP="001A2A7E">
      <w:pPr>
        <w:pStyle w:val="ConsPlusNormal"/>
        <w:jc w:val="both"/>
      </w:pPr>
    </w:p>
    <w:p w:rsidR="00B14508" w:rsidRPr="00A60765" w:rsidRDefault="00B14508" w:rsidP="001A2A7E">
      <w:pPr>
        <w:pStyle w:val="ConsPlusNormal"/>
        <w:jc w:val="both"/>
      </w:pPr>
    </w:p>
    <w:p w:rsidR="00B14508" w:rsidRPr="00A60765" w:rsidRDefault="00B14508" w:rsidP="001A2A7E">
      <w:pPr>
        <w:pStyle w:val="ConsPlusNormal"/>
        <w:jc w:val="both"/>
      </w:pPr>
    </w:p>
    <w:p w:rsidR="00B14508" w:rsidRPr="00A60765" w:rsidRDefault="00B14508" w:rsidP="001A2A7E">
      <w:pPr>
        <w:pStyle w:val="ConsPlusNormal"/>
        <w:jc w:val="both"/>
      </w:pPr>
    </w:p>
    <w:p w:rsidR="00B14508" w:rsidRPr="00A60765" w:rsidRDefault="00B14508" w:rsidP="001A2A7E">
      <w:pPr>
        <w:pStyle w:val="ConsPlusNormal"/>
        <w:jc w:val="both"/>
      </w:pPr>
    </w:p>
    <w:p w:rsidR="00B14508" w:rsidRPr="00A60765" w:rsidRDefault="00B14508" w:rsidP="001A2A7E">
      <w:pPr>
        <w:pStyle w:val="ConsPlusNormal"/>
        <w:jc w:val="both"/>
      </w:pPr>
    </w:p>
    <w:p w:rsidR="00B14508" w:rsidRPr="00A60765" w:rsidRDefault="00B14508" w:rsidP="001A2A7E">
      <w:pPr>
        <w:pStyle w:val="ConsPlusNormal"/>
        <w:jc w:val="both"/>
      </w:pPr>
    </w:p>
    <w:p w:rsidR="00B14508" w:rsidRPr="00A60765" w:rsidRDefault="00B14508" w:rsidP="001A2A7E">
      <w:pPr>
        <w:pStyle w:val="ConsPlusNormal"/>
        <w:jc w:val="both"/>
      </w:pPr>
    </w:p>
    <w:p w:rsidR="00B14508" w:rsidRPr="00A60765" w:rsidRDefault="00B14508" w:rsidP="001A2A7E">
      <w:pPr>
        <w:pStyle w:val="ConsPlusNormal"/>
        <w:jc w:val="both"/>
      </w:pPr>
    </w:p>
    <w:p w:rsidR="00B14508" w:rsidRPr="00A60765" w:rsidRDefault="00B14508" w:rsidP="001A2A7E">
      <w:pPr>
        <w:pStyle w:val="ConsPlusNormal"/>
        <w:jc w:val="both"/>
      </w:pPr>
    </w:p>
    <w:p w:rsidR="006E0DCA" w:rsidRPr="00A60765" w:rsidRDefault="006E0DCA" w:rsidP="001A2A7E">
      <w:pPr>
        <w:pStyle w:val="ConsPlusNormal"/>
        <w:jc w:val="both"/>
      </w:pPr>
    </w:p>
    <w:p w:rsidR="006E0DCA" w:rsidRPr="00A60765" w:rsidRDefault="006E0DCA" w:rsidP="001A2A7E">
      <w:pPr>
        <w:pStyle w:val="ConsPlusNormal"/>
        <w:jc w:val="both"/>
      </w:pPr>
    </w:p>
    <w:p w:rsidR="00B14508" w:rsidRPr="00A60765" w:rsidRDefault="00B14508" w:rsidP="001A2A7E">
      <w:pPr>
        <w:pStyle w:val="ConsPlusNormal"/>
        <w:jc w:val="both"/>
      </w:pPr>
    </w:p>
    <w:p w:rsidR="00493C1E" w:rsidRPr="00A60765" w:rsidRDefault="00493C1E" w:rsidP="00493C1E">
      <w:pPr>
        <w:keepNext/>
        <w:keepLines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493C1E" w:rsidRPr="00A60765" w:rsidRDefault="00493C1E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0765">
        <w:rPr>
          <w:rFonts w:ascii="Times New Roman" w:eastAsia="Times New Roman" w:hAnsi="Times New Roman" w:cs="Times New Roman"/>
          <w:color w:val="000000"/>
          <w:shd w:val="clear" w:color="auto" w:fill="FFFFFF"/>
        </w:rPr>
        <w:br w:type="page"/>
      </w:r>
    </w:p>
    <w:p w:rsidR="00B14508" w:rsidRPr="00A60765" w:rsidRDefault="00B14508" w:rsidP="00493C1E">
      <w:pPr>
        <w:keepNext/>
        <w:keepLines/>
        <w:suppressAutoHyphens/>
        <w:spacing w:after="0" w:line="240" w:lineRule="auto"/>
        <w:jc w:val="right"/>
        <w:outlineLvl w:val="0"/>
        <w:rPr>
          <w:rFonts w:ascii="Calibri Light" w:eastAsia="Calibri Light" w:hAnsi="Calibri Light" w:cs="Calibri Light"/>
          <w:color w:val="2E74B5"/>
          <w:shd w:val="clear" w:color="auto" w:fill="FFFFFF"/>
        </w:rPr>
      </w:pPr>
      <w:r w:rsidRPr="00A60765"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 xml:space="preserve">Приложение </w:t>
      </w:r>
      <w:r w:rsidR="00EC5630" w:rsidRPr="00A60765">
        <w:rPr>
          <w:rFonts w:ascii="Times New Roman" w:eastAsia="Times New Roman" w:hAnsi="Times New Roman" w:cs="Times New Roman"/>
          <w:color w:val="000000"/>
          <w:shd w:val="clear" w:color="auto" w:fill="FFFFFF"/>
        </w:rPr>
        <w:t>2</w:t>
      </w:r>
    </w:p>
    <w:p w:rsidR="00B14508" w:rsidRPr="00A60765" w:rsidRDefault="00D03808" w:rsidP="00493C1E">
      <w:pPr>
        <w:suppressAutoHyphens/>
        <w:spacing w:after="0" w:line="240" w:lineRule="auto"/>
        <w:jc w:val="right"/>
        <w:rPr>
          <w:rFonts w:ascii="Calibri" w:eastAsia="Calibri" w:hAnsi="Calibri" w:cs="Calibri"/>
          <w:shd w:val="clear" w:color="auto" w:fill="FFFFFF"/>
        </w:rPr>
      </w:pPr>
      <w:r w:rsidRPr="00A60765">
        <w:rPr>
          <w:rFonts w:ascii="Times New Roman" w:eastAsia="Times New Roman" w:hAnsi="Times New Roman" w:cs="Times New Roman"/>
          <w:shd w:val="clear" w:color="auto" w:fill="FFFFFF"/>
        </w:rPr>
        <w:t>к С</w:t>
      </w:r>
      <w:r w:rsidR="00B14508" w:rsidRPr="00A60765">
        <w:rPr>
          <w:rFonts w:ascii="Times New Roman" w:eastAsia="Times New Roman" w:hAnsi="Times New Roman" w:cs="Times New Roman"/>
          <w:shd w:val="clear" w:color="auto" w:fill="FFFFFF"/>
        </w:rPr>
        <w:t xml:space="preserve">оглашению об </w:t>
      </w:r>
      <w:r w:rsidR="0058503A" w:rsidRPr="00A60765">
        <w:rPr>
          <w:rFonts w:ascii="Times New Roman" w:eastAsia="Times New Roman" w:hAnsi="Times New Roman" w:cs="Times New Roman"/>
          <w:shd w:val="clear" w:color="auto" w:fill="FFFFFF"/>
        </w:rPr>
        <w:t>условиях осуществления</w:t>
      </w:r>
    </w:p>
    <w:p w:rsidR="00B14508" w:rsidRPr="00A60765" w:rsidRDefault="00B14508" w:rsidP="00493C1E">
      <w:pPr>
        <w:suppressAutoHyphens/>
        <w:spacing w:after="0" w:line="240" w:lineRule="auto"/>
        <w:jc w:val="right"/>
        <w:rPr>
          <w:rFonts w:ascii="Calibri" w:eastAsia="Calibri" w:hAnsi="Calibri" w:cs="Calibri"/>
          <w:shd w:val="clear" w:color="auto" w:fill="FFFFFF"/>
        </w:rPr>
      </w:pPr>
      <w:r w:rsidRPr="00A60765">
        <w:rPr>
          <w:rFonts w:ascii="Times New Roman" w:eastAsia="Times New Roman" w:hAnsi="Times New Roman" w:cs="Times New Roman"/>
          <w:shd w:val="clear" w:color="auto" w:fill="FFFFFF"/>
        </w:rPr>
        <w:t>регулируемого вида деятельности</w:t>
      </w:r>
    </w:p>
    <w:p w:rsidR="00B14508" w:rsidRPr="00A60765" w:rsidRDefault="00B14508" w:rsidP="00493C1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</w:rPr>
      </w:pPr>
      <w:r w:rsidRPr="00A60765">
        <w:rPr>
          <w:rFonts w:ascii="Times New Roman" w:eastAsia="Times New Roman" w:hAnsi="Times New Roman" w:cs="Times New Roman"/>
          <w:shd w:val="clear" w:color="auto" w:fill="FFFFFF"/>
        </w:rPr>
        <w:t>от___________№ ________</w:t>
      </w:r>
    </w:p>
    <w:p w:rsidR="00B14508" w:rsidRPr="00A60765" w:rsidRDefault="00B14508" w:rsidP="00B14508">
      <w:pPr>
        <w:pStyle w:val="ConsPlusNormal"/>
        <w:jc w:val="center"/>
      </w:pPr>
    </w:p>
    <w:p w:rsidR="00B14508" w:rsidRPr="00A60765" w:rsidRDefault="00B14508" w:rsidP="00B1450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A60765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Учет в теч</w:t>
      </w:r>
      <w:r w:rsidR="00A17E5F" w:rsidRPr="00A60765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ение срока действия настоящего С</w:t>
      </w:r>
      <w:r w:rsidRPr="00A60765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оглашения результатов деятельности организации до перехода к государственному регулированию цен (тарифов) на услуги по передаче электрической энергии</w:t>
      </w:r>
      <w:r w:rsidR="005E621D" w:rsidRPr="00A60765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на основе настоящего Соглашения</w:t>
      </w:r>
    </w:p>
    <w:p w:rsidR="00B14508" w:rsidRPr="00A60765" w:rsidRDefault="00A17E5F" w:rsidP="00B14508">
      <w:pPr>
        <w:suppressAutoHyphens/>
        <w:spacing w:after="0" w:line="240" w:lineRule="auto"/>
        <w:jc w:val="center"/>
        <w:rPr>
          <w:rFonts w:ascii="Calibri" w:eastAsia="Calibri" w:hAnsi="Calibri" w:cs="Calibri"/>
          <w:sz w:val="26"/>
          <w:szCs w:val="26"/>
          <w:shd w:val="clear" w:color="auto" w:fill="FFFFFF"/>
        </w:rPr>
      </w:pPr>
      <w:r w:rsidRPr="00A60765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B14508" w:rsidRPr="00A60765" w:rsidRDefault="00B14508" w:rsidP="00B14508">
      <w:pPr>
        <w:suppressAutoHyphens/>
        <w:spacing w:after="0" w:line="240" w:lineRule="auto"/>
        <w:jc w:val="right"/>
        <w:rPr>
          <w:rFonts w:ascii="Calibri" w:eastAsia="Calibri" w:hAnsi="Calibri" w:cs="Calibri"/>
          <w:sz w:val="26"/>
          <w:szCs w:val="26"/>
          <w:shd w:val="clear" w:color="auto" w:fill="FFFFFF"/>
        </w:rPr>
      </w:pPr>
      <w:r w:rsidRPr="00A60765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млн. руб.</w:t>
      </w: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689"/>
        <w:gridCol w:w="1075"/>
        <w:gridCol w:w="1075"/>
        <w:gridCol w:w="1076"/>
        <w:gridCol w:w="1075"/>
        <w:gridCol w:w="921"/>
        <w:gridCol w:w="1374"/>
      </w:tblGrid>
      <w:tr w:rsidR="00B14508" w:rsidRPr="00A60765" w:rsidTr="00D12D7B">
        <w:trPr>
          <w:trHeight w:val="606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B14508" w:rsidRPr="00A60765" w:rsidRDefault="00B14508" w:rsidP="00D12D7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 w:rsidRPr="00A60765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shd w:val="clear" w:color="auto" w:fill="FFFFFF"/>
              </w:rPr>
              <w:t>Показатель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14508" w:rsidRPr="00A60765" w:rsidRDefault="00B14508" w:rsidP="00D12D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shd w:val="clear" w:color="auto" w:fill="FFFFFF"/>
              </w:rPr>
            </w:pPr>
            <w:r w:rsidRPr="00A60765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shd w:val="clear" w:color="auto" w:fill="FFFFFF"/>
              </w:rPr>
              <w:t>Объем экономически обоснованных расходов, не учтенных в целях сглаживания изменения тарифов</w:t>
            </w:r>
            <w:r w:rsidR="00F253E6" w:rsidRPr="00A60765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shd w:val="clear" w:color="auto" w:fill="FFFFFF"/>
              </w:rPr>
              <w:t xml:space="preserve"> в предыдущие долгосрочные периоды регулирования</w:t>
            </w:r>
            <w:r w:rsidRPr="00A60765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B14508" w:rsidRPr="00A60765" w:rsidRDefault="00B14508" w:rsidP="00D12D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shd w:val="clear" w:color="auto" w:fill="FFFFFF"/>
              </w:rPr>
            </w:pPr>
            <w:r w:rsidRPr="00A60765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shd w:val="clear" w:color="auto" w:fill="FFFFFF"/>
              </w:rPr>
              <w:t>(без учета параметров прогноза социально-экономического развития РФ)</w:t>
            </w:r>
          </w:p>
          <w:p w:rsidR="00B14508" w:rsidRPr="00A60765" w:rsidRDefault="00B14508" w:rsidP="00D12D7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87" w:type="dxa"/>
            <w:gridSpan w:val="6"/>
            <w:shd w:val="clear" w:color="auto" w:fill="auto"/>
            <w:vAlign w:val="center"/>
          </w:tcPr>
          <w:p w:rsidR="00B14508" w:rsidRPr="00A60765" w:rsidRDefault="00B14508" w:rsidP="00D12D7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 w:rsidRPr="00A60765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shd w:val="clear" w:color="auto" w:fill="FFFFFF"/>
              </w:rPr>
              <w:t xml:space="preserve">Компенсация накопленных выпадающих доходов в течение срока действия соглашения с учётом положений </w:t>
            </w:r>
          </w:p>
          <w:p w:rsidR="00B14508" w:rsidRPr="00A60765" w:rsidRDefault="00B14508" w:rsidP="00D12D7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 w:rsidRPr="00A60765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shd w:val="clear" w:color="auto" w:fill="FFFFFF"/>
              </w:rPr>
              <w:t>п. 7 Основ ценообразования</w:t>
            </w:r>
          </w:p>
        </w:tc>
      </w:tr>
      <w:tr w:rsidR="00B14508" w:rsidRPr="00A60765" w:rsidTr="00D12D7B">
        <w:trPr>
          <w:trHeight w:val="300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B14508" w:rsidRPr="00A60765" w:rsidRDefault="00B14508" w:rsidP="00D12D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14508" w:rsidRPr="00A60765" w:rsidRDefault="00B14508" w:rsidP="00D12D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14508" w:rsidRPr="00A60765" w:rsidRDefault="00B14508" w:rsidP="00D12D7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 w:rsidRPr="00A60765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4508" w:rsidRPr="00A60765" w:rsidRDefault="00B14508" w:rsidP="00D12D7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 w:rsidRPr="00A60765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B14508" w:rsidRPr="00A60765" w:rsidRDefault="00B14508" w:rsidP="00D12D7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 w:rsidRPr="00A60765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4508" w:rsidRPr="00A60765" w:rsidRDefault="00B14508" w:rsidP="00D12D7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 w:rsidRPr="00A60765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shd w:val="clear" w:color="auto" w:fill="FFFFFF"/>
              </w:rPr>
              <w:t xml:space="preserve">2027 </w:t>
            </w:r>
          </w:p>
          <w:p w:rsidR="00B14508" w:rsidRPr="00A60765" w:rsidRDefault="00B14508" w:rsidP="00D12D7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 w:rsidRPr="00A60765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4508" w:rsidRPr="00A60765" w:rsidRDefault="00B14508" w:rsidP="00D12D7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 w:rsidRPr="00A60765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shd w:val="clear" w:color="auto" w:fill="FFFFFF"/>
              </w:rPr>
              <w:t xml:space="preserve">2028 </w:t>
            </w:r>
          </w:p>
          <w:p w:rsidR="00B14508" w:rsidRPr="00A60765" w:rsidRDefault="00B14508" w:rsidP="00D12D7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 w:rsidRPr="00A60765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4508" w:rsidRPr="00A60765" w:rsidRDefault="00B14508" w:rsidP="00D12D7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 w:rsidRPr="00A60765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shd w:val="clear" w:color="auto" w:fill="FFFFFF"/>
              </w:rPr>
              <w:t>2029 год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B14508" w:rsidRPr="00A60765" w:rsidRDefault="00B14508" w:rsidP="00D12D7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 w:rsidRPr="00A60765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shd w:val="clear" w:color="auto" w:fill="FFFFFF"/>
              </w:rPr>
              <w:t>Итого 2025-2029 гг.</w:t>
            </w:r>
          </w:p>
          <w:p w:rsidR="00B14508" w:rsidRPr="00A60765" w:rsidRDefault="00B14508" w:rsidP="00D12D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60765">
              <w:rPr>
                <w:rFonts w:ascii="Times New Roman" w:eastAsia="Times New Roman" w:hAnsi="Times New Roman" w:cs="Times New Roman"/>
                <w:sz w:val="20"/>
                <w:szCs w:val="20"/>
              </w:rPr>
              <w:t>(без учета параметров прогноза социально-экономического развития РФ)</w:t>
            </w:r>
          </w:p>
        </w:tc>
      </w:tr>
      <w:tr w:rsidR="00B14508" w:rsidRPr="00A60765" w:rsidTr="00D12D7B">
        <w:trPr>
          <w:trHeight w:val="60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14508" w:rsidRPr="00A60765" w:rsidRDefault="00B14508" w:rsidP="00A17E5F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 w:rsidRPr="00A60765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shd w:val="clear" w:color="auto" w:fill="FFFFFF"/>
              </w:rPr>
              <w:t xml:space="preserve">Компенсация </w:t>
            </w:r>
            <w:r w:rsidRPr="00A607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экономически обоснованных расходов, не учтенных в целях сглаживания изменения тарифов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508" w:rsidRPr="00A60765" w:rsidRDefault="00B14508" w:rsidP="00D12D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A6076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2 331,69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4508" w:rsidRPr="00A60765" w:rsidRDefault="00B14508" w:rsidP="00D12D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187,82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4508" w:rsidRPr="00A60765" w:rsidRDefault="00B14508" w:rsidP="00D12D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554,23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4508" w:rsidRPr="00A60765" w:rsidRDefault="00B14508" w:rsidP="00D12D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733,13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4508" w:rsidRPr="00A60765" w:rsidRDefault="00B14508" w:rsidP="00D12D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856,52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4508" w:rsidRPr="00A60765" w:rsidRDefault="00B14508" w:rsidP="00D12D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B14508" w:rsidRPr="00A60765" w:rsidRDefault="00B14508" w:rsidP="00D12D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A60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2 331,69</w:t>
            </w:r>
          </w:p>
        </w:tc>
      </w:tr>
    </w:tbl>
    <w:p w:rsidR="00B14508" w:rsidRPr="00A60765" w:rsidRDefault="00B14508" w:rsidP="00B1450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A60765">
        <w:rPr>
          <w:rFonts w:ascii="Times New Roman" w:eastAsia="Calibri" w:hAnsi="Times New Roman" w:cs="Times New Roman"/>
          <w:shd w:val="clear" w:color="auto" w:fill="FFFFFF"/>
        </w:rPr>
        <w:t>Примечание:</w:t>
      </w:r>
    </w:p>
    <w:p w:rsidR="00B14508" w:rsidRPr="00A60765" w:rsidRDefault="00B14508" w:rsidP="00B14508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hd w:val="clear" w:color="auto" w:fill="FFFFFF"/>
        </w:rPr>
      </w:pPr>
      <w:r w:rsidRPr="00A60765">
        <w:rPr>
          <w:rFonts w:ascii="Times New Roman" w:eastAsia="Calibri" w:hAnsi="Times New Roman" w:cs="Times New Roman"/>
          <w:shd w:val="clear" w:color="auto" w:fill="FFFFFF"/>
        </w:rPr>
        <w:t>1.</w:t>
      </w:r>
      <w:r w:rsidRPr="00A60765">
        <w:rPr>
          <w:rFonts w:ascii="Times New Roman" w:eastAsia="Calibri" w:hAnsi="Times New Roman" w:cs="Times New Roman"/>
          <w:shd w:val="clear" w:color="auto" w:fill="FFFFFF"/>
        </w:rPr>
        <w:tab/>
        <w:t xml:space="preserve">Величина </w:t>
      </w:r>
      <w:r w:rsidR="00A17E5F" w:rsidRPr="00A60765">
        <w:rPr>
          <w:rFonts w:ascii="Times New Roman" w:eastAsia="Calibri" w:hAnsi="Times New Roman" w:cs="Times New Roman"/>
          <w:shd w:val="clear" w:color="auto" w:fill="FFFFFF"/>
        </w:rPr>
        <w:t xml:space="preserve">компенсации экономически обоснованных расходов, не учтенных в целях сглаживания изменения тарифов, </w:t>
      </w:r>
      <w:r w:rsidRPr="00A60765">
        <w:rPr>
          <w:rFonts w:ascii="Times New Roman" w:eastAsia="Calibri" w:hAnsi="Times New Roman" w:cs="Times New Roman"/>
          <w:shd w:val="clear" w:color="auto" w:fill="FFFFFF"/>
        </w:rPr>
        <w:t xml:space="preserve">может быть скорректирована с учетом индексации, в зависимости от периода </w:t>
      </w:r>
      <w:r w:rsidR="00A17E5F" w:rsidRPr="00A60765">
        <w:rPr>
          <w:rFonts w:ascii="Times New Roman" w:eastAsia="Calibri" w:hAnsi="Times New Roman" w:cs="Times New Roman"/>
          <w:shd w:val="clear" w:color="auto" w:fill="FFFFFF"/>
        </w:rPr>
        <w:t xml:space="preserve">их </w:t>
      </w:r>
      <w:r w:rsidRPr="00A60765">
        <w:rPr>
          <w:rFonts w:ascii="Times New Roman" w:eastAsia="Calibri" w:hAnsi="Times New Roman" w:cs="Times New Roman"/>
          <w:shd w:val="clear" w:color="auto" w:fill="FFFFFF"/>
        </w:rPr>
        <w:t xml:space="preserve">возникновения и периода компенсации, </w:t>
      </w:r>
      <w:r w:rsidR="00A17E5F" w:rsidRPr="00A60765">
        <w:rPr>
          <w:rFonts w:ascii="Times New Roman" w:eastAsia="Calibri" w:hAnsi="Times New Roman" w:cs="Times New Roman"/>
          <w:shd w:val="clear" w:color="auto" w:fill="FFFFFF"/>
        </w:rPr>
        <w:t xml:space="preserve">а также </w:t>
      </w:r>
      <w:r w:rsidRPr="00A60765">
        <w:rPr>
          <w:rFonts w:ascii="Times New Roman" w:eastAsia="Calibri" w:hAnsi="Times New Roman" w:cs="Times New Roman"/>
          <w:shd w:val="clear" w:color="auto" w:fill="FFFFFF"/>
        </w:rPr>
        <w:t xml:space="preserve">формул корректировок, учитывающих результаты деятельности Организации за истекший период, предусмотренных </w:t>
      </w:r>
      <w:r w:rsidR="00C70FB8" w:rsidRPr="00A60765">
        <w:rPr>
          <w:rFonts w:ascii="Times New Roman" w:eastAsia="Calibri" w:hAnsi="Times New Roman" w:cs="Times New Roman"/>
          <w:shd w:val="clear" w:color="auto" w:fill="FFFFFF"/>
        </w:rPr>
        <w:t>Методическими указаниями</w:t>
      </w:r>
      <w:r w:rsidR="00824D6D" w:rsidRPr="00A60765">
        <w:rPr>
          <w:rFonts w:ascii="Times New Roman" w:eastAsia="Calibri" w:hAnsi="Times New Roman" w:cs="Times New Roman"/>
          <w:shd w:val="clear" w:color="auto" w:fill="FFFFFF"/>
        </w:rPr>
        <w:t>.</w:t>
      </w:r>
    </w:p>
    <w:p w:rsidR="00B14508" w:rsidRPr="00A60765" w:rsidRDefault="00B14508" w:rsidP="00B14508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A60765">
        <w:rPr>
          <w:rFonts w:ascii="Times New Roman" w:eastAsia="Calibri" w:hAnsi="Times New Roman" w:cs="Times New Roman"/>
          <w:shd w:val="clear" w:color="auto" w:fill="FFFFFF"/>
        </w:rPr>
        <w:t>2.</w:t>
      </w:r>
      <w:r w:rsidRPr="00A60765">
        <w:rPr>
          <w:rFonts w:ascii="Times New Roman" w:eastAsia="Calibri" w:hAnsi="Times New Roman" w:cs="Times New Roman"/>
          <w:shd w:val="clear" w:color="auto" w:fill="FFFFFF"/>
        </w:rPr>
        <w:tab/>
        <w:t xml:space="preserve">Расчет компенсации произведен на основании проекта тарифно-балансовых показателей территориальных сетевых организаций на 2025 год. </w:t>
      </w:r>
    </w:p>
    <w:p w:rsidR="00B14508" w:rsidRPr="00A60765" w:rsidRDefault="00B14508" w:rsidP="00B14508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A60765">
        <w:rPr>
          <w:rFonts w:ascii="Times New Roman" w:eastAsia="Calibri" w:hAnsi="Times New Roman" w:cs="Times New Roman"/>
          <w:shd w:val="clear" w:color="auto" w:fill="FFFFFF"/>
        </w:rPr>
        <w:t>3. При установлении цен (тарифов) на очередной период (год) регулирования в целях возврата</w:t>
      </w:r>
      <w:r w:rsidR="00A17E5F" w:rsidRPr="00A60765">
        <w:t xml:space="preserve"> </w:t>
      </w:r>
      <w:r w:rsidR="00A17E5F" w:rsidRPr="00A60765">
        <w:rPr>
          <w:rFonts w:ascii="Times New Roman" w:eastAsia="Calibri" w:hAnsi="Times New Roman" w:cs="Times New Roman"/>
          <w:shd w:val="clear" w:color="auto" w:fill="FFFFFF"/>
        </w:rPr>
        <w:t xml:space="preserve">экономически обоснованных расходов, не учтенных в целях сглаживания изменения тарифов, </w:t>
      </w:r>
      <w:r w:rsidRPr="00A60765">
        <w:rPr>
          <w:rFonts w:ascii="Times New Roman" w:eastAsia="Calibri" w:hAnsi="Times New Roman" w:cs="Times New Roman"/>
          <w:shd w:val="clear" w:color="auto" w:fill="FFFFFF"/>
        </w:rPr>
        <w:t>применяется индексация на индекс потребительских цен на соотв</w:t>
      </w:r>
      <w:r w:rsidR="00C70FB8" w:rsidRPr="00A60765">
        <w:rPr>
          <w:rFonts w:ascii="Times New Roman" w:eastAsia="Calibri" w:hAnsi="Times New Roman" w:cs="Times New Roman"/>
          <w:shd w:val="clear" w:color="auto" w:fill="FFFFFF"/>
        </w:rPr>
        <w:t>етствующий год согласно Прогнозу</w:t>
      </w:r>
      <w:r w:rsidRPr="00A60765">
        <w:rPr>
          <w:rFonts w:ascii="Times New Roman" w:eastAsia="Calibri" w:hAnsi="Times New Roman" w:cs="Times New Roman"/>
          <w:shd w:val="clear" w:color="auto" w:fill="FFFFFF"/>
        </w:rPr>
        <w:t xml:space="preserve"> социально-экономического развития Российской </w:t>
      </w:r>
      <w:r w:rsidR="00C70FB8" w:rsidRPr="00A60765">
        <w:rPr>
          <w:rFonts w:ascii="Times New Roman" w:eastAsia="Calibri" w:hAnsi="Times New Roman" w:cs="Times New Roman"/>
          <w:shd w:val="clear" w:color="auto" w:fill="FFFFFF"/>
        </w:rPr>
        <w:t>Федерации, публикуемому</w:t>
      </w:r>
      <w:r w:rsidRPr="00A60765">
        <w:rPr>
          <w:rFonts w:ascii="Times New Roman" w:eastAsia="Calibri" w:hAnsi="Times New Roman" w:cs="Times New Roman"/>
          <w:shd w:val="clear" w:color="auto" w:fill="FFFFFF"/>
        </w:rPr>
        <w:t xml:space="preserve"> Минэкономразвития России, действующему на момент установления (цен) тарифов.</w:t>
      </w:r>
    </w:p>
    <w:p w:rsidR="007711FF" w:rsidRPr="00A60765" w:rsidRDefault="007711FF" w:rsidP="00B14508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6854D3" w:rsidRPr="00A60765" w:rsidRDefault="006854D3" w:rsidP="006854D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A60765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Министерство ЖКХ и ГЗН                                         ПАО «</w:t>
      </w:r>
      <w:proofErr w:type="spellStart"/>
      <w:r w:rsidRPr="00A60765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Россети</w:t>
      </w:r>
      <w:proofErr w:type="spellEnd"/>
      <w:r w:rsidRPr="00A60765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Волга»</w:t>
      </w:r>
    </w:p>
    <w:p w:rsidR="006854D3" w:rsidRPr="00A60765" w:rsidRDefault="006854D3" w:rsidP="006854D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A60765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   Пензенской области</w:t>
      </w:r>
    </w:p>
    <w:p w:rsidR="006854D3" w:rsidRPr="00A60765" w:rsidRDefault="006854D3" w:rsidP="006854D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6854D3" w:rsidRPr="00A60765" w:rsidRDefault="006854D3" w:rsidP="006854D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6854D3" w:rsidRPr="00A60765" w:rsidRDefault="006854D3" w:rsidP="006854D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A60765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_______________М.А. </w:t>
      </w:r>
      <w:proofErr w:type="spellStart"/>
      <w:r w:rsidRPr="00A60765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Панюхин</w:t>
      </w:r>
      <w:proofErr w:type="spellEnd"/>
      <w:r w:rsidRPr="00A60765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                                           _______________ М.В. Кузьмин</w:t>
      </w:r>
    </w:p>
    <w:p w:rsidR="007711FF" w:rsidRPr="0073520D" w:rsidRDefault="006854D3" w:rsidP="006854D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A60765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 М.П.</w:t>
      </w:r>
      <w:r w:rsidRPr="00A60765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ab/>
      </w:r>
      <w:r w:rsidRPr="00A60765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ab/>
      </w:r>
      <w:r w:rsidRPr="00A60765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ab/>
      </w:r>
      <w:r w:rsidRPr="00A60765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ab/>
      </w:r>
      <w:r w:rsidRPr="00A60765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ab/>
      </w:r>
      <w:r w:rsidRPr="00A60765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ab/>
        <w:t xml:space="preserve">                             М.П.</w:t>
      </w:r>
      <w:bookmarkStart w:id="2" w:name="_GoBack"/>
      <w:bookmarkEnd w:id="2"/>
    </w:p>
    <w:sectPr w:rsidR="007711FF" w:rsidRPr="0073520D" w:rsidSect="00493C1E">
      <w:headerReference w:type="default" r:id="rId9"/>
      <w:footerReference w:type="default" r:id="rId10"/>
      <w:pgSz w:w="11906" w:h="16838"/>
      <w:pgMar w:top="1134" w:right="709" w:bottom="851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EE4" w:rsidRDefault="00072EE4">
      <w:pPr>
        <w:spacing w:after="0" w:line="240" w:lineRule="auto"/>
      </w:pPr>
      <w:r>
        <w:separator/>
      </w:r>
    </w:p>
  </w:endnote>
  <w:endnote w:type="continuationSeparator" w:id="0">
    <w:p w:rsidR="00072EE4" w:rsidRDefault="00072EE4">
      <w:pPr>
        <w:spacing w:after="0" w:line="240" w:lineRule="auto"/>
      </w:pPr>
      <w:r>
        <w:continuationSeparator/>
      </w:r>
    </w:p>
  </w:endnote>
  <w:endnote w:type="continuationNotice" w:id="1">
    <w:p w:rsidR="00072EE4" w:rsidRDefault="00072E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2225143"/>
      <w:docPartObj>
        <w:docPartGallery w:val="Page Numbers (Bottom of Page)"/>
        <w:docPartUnique/>
      </w:docPartObj>
    </w:sdtPr>
    <w:sdtEndPr/>
    <w:sdtContent>
      <w:p w:rsidR="00345D38" w:rsidRDefault="00345D3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765">
          <w:rPr>
            <w:noProof/>
          </w:rPr>
          <w:t>2</w:t>
        </w:r>
        <w:r>
          <w:fldChar w:fldCharType="end"/>
        </w:r>
      </w:p>
    </w:sdtContent>
  </w:sdt>
  <w:p w:rsidR="00345D38" w:rsidRDefault="00345D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EE4" w:rsidRDefault="00072EE4">
      <w:pPr>
        <w:spacing w:after="0" w:line="240" w:lineRule="auto"/>
      </w:pPr>
      <w:r>
        <w:separator/>
      </w:r>
    </w:p>
  </w:footnote>
  <w:footnote w:type="continuationSeparator" w:id="0">
    <w:p w:rsidR="00072EE4" w:rsidRDefault="00072EE4">
      <w:pPr>
        <w:spacing w:after="0" w:line="240" w:lineRule="auto"/>
      </w:pPr>
      <w:r>
        <w:continuationSeparator/>
      </w:r>
    </w:p>
  </w:footnote>
  <w:footnote w:type="continuationNotice" w:id="1">
    <w:p w:rsidR="00072EE4" w:rsidRDefault="00072E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D38" w:rsidRDefault="00345D38">
    <w:pPr>
      <w:pStyle w:val="a3"/>
      <w:jc w:val="center"/>
    </w:pPr>
  </w:p>
  <w:p w:rsidR="00345D38" w:rsidRDefault="00345D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62F4"/>
    <w:multiLevelType w:val="hybridMultilevel"/>
    <w:tmpl w:val="01543688"/>
    <w:lvl w:ilvl="0" w:tplc="85C2F3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72769A"/>
    <w:multiLevelType w:val="hybridMultilevel"/>
    <w:tmpl w:val="70D05EC0"/>
    <w:lvl w:ilvl="0" w:tplc="96362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F292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2C57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C5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E52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20A6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183B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8804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2819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465E9"/>
    <w:multiLevelType w:val="hybridMultilevel"/>
    <w:tmpl w:val="D07483F4"/>
    <w:lvl w:ilvl="0" w:tplc="D34CB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D04FB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B8B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4DD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34E7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DA4C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1E2B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23E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C078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E6D30"/>
    <w:multiLevelType w:val="hybridMultilevel"/>
    <w:tmpl w:val="0F487E40"/>
    <w:lvl w:ilvl="0" w:tplc="40D23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6B2F6B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5B2310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3D0A4F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17AB3A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E2777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36E822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C36815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B2A55E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F85"/>
    <w:rsid w:val="0000563A"/>
    <w:rsid w:val="00020E20"/>
    <w:rsid w:val="000215CC"/>
    <w:rsid w:val="000238B7"/>
    <w:rsid w:val="000251CE"/>
    <w:rsid w:val="000340A4"/>
    <w:rsid w:val="000565FB"/>
    <w:rsid w:val="00061275"/>
    <w:rsid w:val="00072EE4"/>
    <w:rsid w:val="0007352F"/>
    <w:rsid w:val="00073B1F"/>
    <w:rsid w:val="000770AB"/>
    <w:rsid w:val="00090C1F"/>
    <w:rsid w:val="00091B7D"/>
    <w:rsid w:val="00095298"/>
    <w:rsid w:val="00095671"/>
    <w:rsid w:val="000B2043"/>
    <w:rsid w:val="000B6B61"/>
    <w:rsid w:val="000C2027"/>
    <w:rsid w:val="000C52B6"/>
    <w:rsid w:val="000D4F5D"/>
    <w:rsid w:val="000D75E8"/>
    <w:rsid w:val="000F69EE"/>
    <w:rsid w:val="000F6F43"/>
    <w:rsid w:val="000F7A8A"/>
    <w:rsid w:val="00110CC8"/>
    <w:rsid w:val="001163F9"/>
    <w:rsid w:val="00120D24"/>
    <w:rsid w:val="00121D7F"/>
    <w:rsid w:val="00126729"/>
    <w:rsid w:val="00165C51"/>
    <w:rsid w:val="001715C4"/>
    <w:rsid w:val="00172ABC"/>
    <w:rsid w:val="001939EC"/>
    <w:rsid w:val="001A2A7E"/>
    <w:rsid w:val="001C65E9"/>
    <w:rsid w:val="001D3E5C"/>
    <w:rsid w:val="0021240E"/>
    <w:rsid w:val="00245B22"/>
    <w:rsid w:val="00256F27"/>
    <w:rsid w:val="00266C87"/>
    <w:rsid w:val="00270E68"/>
    <w:rsid w:val="00271DA1"/>
    <w:rsid w:val="00274898"/>
    <w:rsid w:val="00280737"/>
    <w:rsid w:val="002863F8"/>
    <w:rsid w:val="002B6388"/>
    <w:rsid w:val="002B760E"/>
    <w:rsid w:val="002D07E3"/>
    <w:rsid w:val="002F058A"/>
    <w:rsid w:val="002F0D17"/>
    <w:rsid w:val="002F1F9F"/>
    <w:rsid w:val="002F5F85"/>
    <w:rsid w:val="002F6210"/>
    <w:rsid w:val="003033BA"/>
    <w:rsid w:val="00313012"/>
    <w:rsid w:val="00313AD6"/>
    <w:rsid w:val="003206EC"/>
    <w:rsid w:val="003213FD"/>
    <w:rsid w:val="00322F8E"/>
    <w:rsid w:val="00327D14"/>
    <w:rsid w:val="00336CF5"/>
    <w:rsid w:val="00345D38"/>
    <w:rsid w:val="00346DD4"/>
    <w:rsid w:val="00350E1C"/>
    <w:rsid w:val="00353E44"/>
    <w:rsid w:val="003823E6"/>
    <w:rsid w:val="0039531A"/>
    <w:rsid w:val="00396DBA"/>
    <w:rsid w:val="003B326A"/>
    <w:rsid w:val="003B6CCA"/>
    <w:rsid w:val="003C0AAA"/>
    <w:rsid w:val="003C578F"/>
    <w:rsid w:val="003C6205"/>
    <w:rsid w:val="003D39D3"/>
    <w:rsid w:val="003F2151"/>
    <w:rsid w:val="00401AE1"/>
    <w:rsid w:val="004207AC"/>
    <w:rsid w:val="00422340"/>
    <w:rsid w:val="00430458"/>
    <w:rsid w:val="00444DDF"/>
    <w:rsid w:val="0044655E"/>
    <w:rsid w:val="00462636"/>
    <w:rsid w:val="004648BB"/>
    <w:rsid w:val="004773B7"/>
    <w:rsid w:val="00481A81"/>
    <w:rsid w:val="00493C1E"/>
    <w:rsid w:val="004B2BC1"/>
    <w:rsid w:val="004B2C01"/>
    <w:rsid w:val="004B3B85"/>
    <w:rsid w:val="004D1386"/>
    <w:rsid w:val="005022DB"/>
    <w:rsid w:val="00507CF4"/>
    <w:rsid w:val="005130E3"/>
    <w:rsid w:val="00525490"/>
    <w:rsid w:val="00531452"/>
    <w:rsid w:val="005336D1"/>
    <w:rsid w:val="00550E1F"/>
    <w:rsid w:val="005556A4"/>
    <w:rsid w:val="005664BE"/>
    <w:rsid w:val="005708C2"/>
    <w:rsid w:val="00570D9D"/>
    <w:rsid w:val="00575DD1"/>
    <w:rsid w:val="00577EE5"/>
    <w:rsid w:val="0058085A"/>
    <w:rsid w:val="0058503A"/>
    <w:rsid w:val="005B1D8D"/>
    <w:rsid w:val="005C27AC"/>
    <w:rsid w:val="005C3921"/>
    <w:rsid w:val="005C4CEC"/>
    <w:rsid w:val="005C6D51"/>
    <w:rsid w:val="005D22FE"/>
    <w:rsid w:val="005E621D"/>
    <w:rsid w:val="0060614B"/>
    <w:rsid w:val="006070D6"/>
    <w:rsid w:val="00613BC7"/>
    <w:rsid w:val="00614A88"/>
    <w:rsid w:val="00621CDA"/>
    <w:rsid w:val="0063418D"/>
    <w:rsid w:val="0064549F"/>
    <w:rsid w:val="00676B15"/>
    <w:rsid w:val="00682F02"/>
    <w:rsid w:val="006854D3"/>
    <w:rsid w:val="00686646"/>
    <w:rsid w:val="006871B1"/>
    <w:rsid w:val="00687A33"/>
    <w:rsid w:val="0069093B"/>
    <w:rsid w:val="006942D1"/>
    <w:rsid w:val="006C2C70"/>
    <w:rsid w:val="006C768C"/>
    <w:rsid w:val="006D07A8"/>
    <w:rsid w:val="006D6B9F"/>
    <w:rsid w:val="006E0DCA"/>
    <w:rsid w:val="006E357B"/>
    <w:rsid w:val="006E4EEF"/>
    <w:rsid w:val="006F63FF"/>
    <w:rsid w:val="0070000F"/>
    <w:rsid w:val="00700339"/>
    <w:rsid w:val="00706B43"/>
    <w:rsid w:val="00710784"/>
    <w:rsid w:val="00710B77"/>
    <w:rsid w:val="00725616"/>
    <w:rsid w:val="0073520D"/>
    <w:rsid w:val="007359FE"/>
    <w:rsid w:val="00755FE8"/>
    <w:rsid w:val="00762978"/>
    <w:rsid w:val="007650A1"/>
    <w:rsid w:val="007711FF"/>
    <w:rsid w:val="00771AE8"/>
    <w:rsid w:val="00780E91"/>
    <w:rsid w:val="007853BA"/>
    <w:rsid w:val="0079219B"/>
    <w:rsid w:val="007A204C"/>
    <w:rsid w:val="007A4CD3"/>
    <w:rsid w:val="007B6D73"/>
    <w:rsid w:val="007C5215"/>
    <w:rsid w:val="007D5136"/>
    <w:rsid w:val="007D7F4C"/>
    <w:rsid w:val="007E00C7"/>
    <w:rsid w:val="007F7AB3"/>
    <w:rsid w:val="00824D6D"/>
    <w:rsid w:val="00831504"/>
    <w:rsid w:val="00837888"/>
    <w:rsid w:val="0084067F"/>
    <w:rsid w:val="00841E44"/>
    <w:rsid w:val="008A7B1A"/>
    <w:rsid w:val="008F4C39"/>
    <w:rsid w:val="0090392D"/>
    <w:rsid w:val="009117A2"/>
    <w:rsid w:val="00920544"/>
    <w:rsid w:val="0092086E"/>
    <w:rsid w:val="00924E3C"/>
    <w:rsid w:val="0095376E"/>
    <w:rsid w:val="00954B6C"/>
    <w:rsid w:val="0096374B"/>
    <w:rsid w:val="009838A8"/>
    <w:rsid w:val="00997530"/>
    <w:rsid w:val="009B6114"/>
    <w:rsid w:val="009D531C"/>
    <w:rsid w:val="009E08F7"/>
    <w:rsid w:val="009E2607"/>
    <w:rsid w:val="009E334B"/>
    <w:rsid w:val="009E513D"/>
    <w:rsid w:val="00A03275"/>
    <w:rsid w:val="00A17E5F"/>
    <w:rsid w:val="00A23088"/>
    <w:rsid w:val="00A2416C"/>
    <w:rsid w:val="00A30D3F"/>
    <w:rsid w:val="00A34175"/>
    <w:rsid w:val="00A47AC3"/>
    <w:rsid w:val="00A508E9"/>
    <w:rsid w:val="00A60765"/>
    <w:rsid w:val="00A60E09"/>
    <w:rsid w:val="00A613A6"/>
    <w:rsid w:val="00A622A0"/>
    <w:rsid w:val="00A64904"/>
    <w:rsid w:val="00A65B6B"/>
    <w:rsid w:val="00A67844"/>
    <w:rsid w:val="00A91AC8"/>
    <w:rsid w:val="00A91C57"/>
    <w:rsid w:val="00AA76D4"/>
    <w:rsid w:val="00AC48E3"/>
    <w:rsid w:val="00AF3654"/>
    <w:rsid w:val="00AF655E"/>
    <w:rsid w:val="00B05909"/>
    <w:rsid w:val="00B10C08"/>
    <w:rsid w:val="00B1388B"/>
    <w:rsid w:val="00B14508"/>
    <w:rsid w:val="00B15C32"/>
    <w:rsid w:val="00B17D87"/>
    <w:rsid w:val="00B3355F"/>
    <w:rsid w:val="00B35F90"/>
    <w:rsid w:val="00B42460"/>
    <w:rsid w:val="00B463BC"/>
    <w:rsid w:val="00B50637"/>
    <w:rsid w:val="00B54B64"/>
    <w:rsid w:val="00B54E39"/>
    <w:rsid w:val="00B71230"/>
    <w:rsid w:val="00B728FF"/>
    <w:rsid w:val="00B74179"/>
    <w:rsid w:val="00B80626"/>
    <w:rsid w:val="00BA1F65"/>
    <w:rsid w:val="00BB0BF7"/>
    <w:rsid w:val="00BC6421"/>
    <w:rsid w:val="00BD4055"/>
    <w:rsid w:val="00BD471D"/>
    <w:rsid w:val="00BD60D4"/>
    <w:rsid w:val="00BE2ABE"/>
    <w:rsid w:val="00BE734E"/>
    <w:rsid w:val="00BF1DF6"/>
    <w:rsid w:val="00BF2DFF"/>
    <w:rsid w:val="00BF4F86"/>
    <w:rsid w:val="00BF78DA"/>
    <w:rsid w:val="00C10193"/>
    <w:rsid w:val="00C25A84"/>
    <w:rsid w:val="00C33A21"/>
    <w:rsid w:val="00C358FE"/>
    <w:rsid w:val="00C36ACB"/>
    <w:rsid w:val="00C37553"/>
    <w:rsid w:val="00C56647"/>
    <w:rsid w:val="00C63731"/>
    <w:rsid w:val="00C70FB8"/>
    <w:rsid w:val="00C80827"/>
    <w:rsid w:val="00C85784"/>
    <w:rsid w:val="00CB68C8"/>
    <w:rsid w:val="00CB7922"/>
    <w:rsid w:val="00CC18C2"/>
    <w:rsid w:val="00CE5D27"/>
    <w:rsid w:val="00CE6856"/>
    <w:rsid w:val="00CF035E"/>
    <w:rsid w:val="00CF4FEA"/>
    <w:rsid w:val="00D03808"/>
    <w:rsid w:val="00D04FEB"/>
    <w:rsid w:val="00D12D7B"/>
    <w:rsid w:val="00D15C82"/>
    <w:rsid w:val="00D17555"/>
    <w:rsid w:val="00D26E8F"/>
    <w:rsid w:val="00D27ABC"/>
    <w:rsid w:val="00D3507B"/>
    <w:rsid w:val="00D46349"/>
    <w:rsid w:val="00D47F83"/>
    <w:rsid w:val="00D7071E"/>
    <w:rsid w:val="00D80307"/>
    <w:rsid w:val="00D82792"/>
    <w:rsid w:val="00D87493"/>
    <w:rsid w:val="00D874B1"/>
    <w:rsid w:val="00D90A1F"/>
    <w:rsid w:val="00D9639B"/>
    <w:rsid w:val="00DA1B45"/>
    <w:rsid w:val="00DA54A7"/>
    <w:rsid w:val="00DB3271"/>
    <w:rsid w:val="00DB3C01"/>
    <w:rsid w:val="00DC3D90"/>
    <w:rsid w:val="00DE17EB"/>
    <w:rsid w:val="00DE2AF3"/>
    <w:rsid w:val="00E0148D"/>
    <w:rsid w:val="00E017B3"/>
    <w:rsid w:val="00E03A5D"/>
    <w:rsid w:val="00E26D70"/>
    <w:rsid w:val="00E305D5"/>
    <w:rsid w:val="00E42EA6"/>
    <w:rsid w:val="00E43F12"/>
    <w:rsid w:val="00E44709"/>
    <w:rsid w:val="00E56C8A"/>
    <w:rsid w:val="00E6241E"/>
    <w:rsid w:val="00E62893"/>
    <w:rsid w:val="00E729D2"/>
    <w:rsid w:val="00E74322"/>
    <w:rsid w:val="00EC2082"/>
    <w:rsid w:val="00EC5630"/>
    <w:rsid w:val="00ED0EE0"/>
    <w:rsid w:val="00EE2438"/>
    <w:rsid w:val="00EE3106"/>
    <w:rsid w:val="00EE6227"/>
    <w:rsid w:val="00F06B49"/>
    <w:rsid w:val="00F253E6"/>
    <w:rsid w:val="00F25F00"/>
    <w:rsid w:val="00F36F1E"/>
    <w:rsid w:val="00F461BD"/>
    <w:rsid w:val="00F52E58"/>
    <w:rsid w:val="00F55C84"/>
    <w:rsid w:val="00F5731B"/>
    <w:rsid w:val="00F5734E"/>
    <w:rsid w:val="00F576BE"/>
    <w:rsid w:val="00F57D7F"/>
    <w:rsid w:val="00F73F4B"/>
    <w:rsid w:val="00F81FC2"/>
    <w:rsid w:val="00F91245"/>
    <w:rsid w:val="00F91C51"/>
    <w:rsid w:val="00FC0DD9"/>
    <w:rsid w:val="00FC1CA4"/>
    <w:rsid w:val="00FD6F4E"/>
    <w:rsid w:val="00FD7053"/>
    <w:rsid w:val="00FD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eastAsiaTheme="minorEastAsia"/>
      <w:lang w:eastAsia="ru-RU"/>
    </w:rPr>
  </w:style>
  <w:style w:type="table" w:styleId="a7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E26D7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26D7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26D70"/>
    <w:rPr>
      <w:rFonts w:eastAsiaTheme="minorEastAsia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26D7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26D70"/>
    <w:rPr>
      <w:rFonts w:eastAsiaTheme="minorEastAsia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B05909"/>
    <w:pPr>
      <w:spacing w:after="0" w:line="240" w:lineRule="auto"/>
    </w:pPr>
    <w:rPr>
      <w:rFonts w:eastAsiaTheme="minorEastAsia"/>
      <w:lang w:eastAsia="ru-RU"/>
    </w:rPr>
  </w:style>
  <w:style w:type="paragraph" w:styleId="af1">
    <w:name w:val="List Paragraph"/>
    <w:basedOn w:val="a"/>
    <w:uiPriority w:val="34"/>
    <w:qFormat/>
    <w:rsid w:val="007711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eastAsiaTheme="minorEastAsia"/>
      <w:lang w:eastAsia="ru-RU"/>
    </w:rPr>
  </w:style>
  <w:style w:type="table" w:styleId="a7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E26D7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26D7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26D70"/>
    <w:rPr>
      <w:rFonts w:eastAsiaTheme="minorEastAsia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26D7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26D70"/>
    <w:rPr>
      <w:rFonts w:eastAsiaTheme="minorEastAsia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B05909"/>
    <w:pPr>
      <w:spacing w:after="0" w:line="240" w:lineRule="auto"/>
    </w:pPr>
    <w:rPr>
      <w:rFonts w:eastAsiaTheme="minorEastAsia"/>
      <w:lang w:eastAsia="ru-RU"/>
    </w:rPr>
  </w:style>
  <w:style w:type="paragraph" w:styleId="af1">
    <w:name w:val="List Paragraph"/>
    <w:basedOn w:val="a"/>
    <w:uiPriority w:val="34"/>
    <w:qFormat/>
    <w:rsid w:val="00771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D1156-BEB2-4FD2-90EC-7AC69D0B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7578</Words>
  <Characters>43198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Токарев Артем Алексеевич</dc:creator>
  <cp:lastModifiedBy>User</cp:lastModifiedBy>
  <cp:revision>3</cp:revision>
  <cp:lastPrinted>2024-07-09T14:26:00Z</cp:lastPrinted>
  <dcterms:created xsi:type="dcterms:W3CDTF">2024-07-23T11:21:00Z</dcterms:created>
  <dcterms:modified xsi:type="dcterms:W3CDTF">2024-07-23T11:23:00Z</dcterms:modified>
</cp:coreProperties>
</file>