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8C7" w:rsidRDefault="004058C7" w:rsidP="004058C7">
      <w:pPr>
        <w:ind w:firstLine="709"/>
        <w:jc w:val="both"/>
        <w:rPr>
          <w:sz w:val="28"/>
          <w:szCs w:val="28"/>
        </w:rPr>
      </w:pPr>
      <w:r>
        <w:rPr>
          <w:noProof/>
          <w:sz w:val="30"/>
        </w:rPr>
        <w:drawing>
          <wp:anchor distT="0" distB="0" distL="114300" distR="114300" simplePos="0" relativeHeight="251659264" behindDoc="0" locked="0" layoutInCell="1" allowOverlap="1" wp14:anchorId="36EB680E" wp14:editId="0003C1E6">
            <wp:simplePos x="0" y="0"/>
            <wp:positionH relativeFrom="column">
              <wp:posOffset>2667000</wp:posOffset>
            </wp:positionH>
            <wp:positionV relativeFrom="paragraph">
              <wp:posOffset>0</wp:posOffset>
            </wp:positionV>
            <wp:extent cx="728980" cy="967105"/>
            <wp:effectExtent l="0" t="0" r="0" b="4445"/>
            <wp:wrapSquare wrapText="bothSides"/>
            <wp:docPr id="1" name="Рисунок 1" descr="Герб ППО (вектор) черная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 2"/>
                    <pic:cNvPicPr>
                      <a:picLocks noChangeAspect="1"/>
                    </pic:cNvPicPr>
                  </pic:nvPicPr>
                  <pic:blipFill>
                    <a:blip r:embed="rId6"/>
                    <a:stretch/>
                  </pic:blipFill>
                  <pic:spPr bwMode="auto">
                    <a:xfrm>
                      <a:off x="0" y="0"/>
                      <a:ext cx="728980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58C7" w:rsidRDefault="004058C7" w:rsidP="004058C7">
      <w:pPr>
        <w:ind w:firstLine="709"/>
        <w:jc w:val="both"/>
        <w:rPr>
          <w:sz w:val="28"/>
          <w:szCs w:val="28"/>
        </w:rPr>
      </w:pPr>
    </w:p>
    <w:p w:rsidR="004058C7" w:rsidRDefault="004058C7" w:rsidP="004058C7">
      <w:pPr>
        <w:rPr>
          <w:i/>
          <w:sz w:val="28"/>
          <w:szCs w:val="28"/>
        </w:rPr>
      </w:pP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4058C7" w:rsidTr="00C01E10">
        <w:trPr>
          <w:trHeight w:hRule="exact" w:val="397"/>
        </w:trPr>
        <w:tc>
          <w:tcPr>
            <w:tcW w:w="9606" w:type="dxa"/>
          </w:tcPr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</w:rPr>
            </w:pPr>
          </w:p>
        </w:tc>
      </w:tr>
      <w:tr w:rsidR="004058C7" w:rsidTr="00C01E10">
        <w:tc>
          <w:tcPr>
            <w:tcW w:w="9606" w:type="dxa"/>
          </w:tcPr>
          <w:tbl>
            <w:tblPr>
              <w:tblW w:w="9606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606"/>
            </w:tblGrid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МИНИСТЕРСТВО ЖИЛИЩНО-КОММУНАЛЬНОГО ХОЗЯЙСТВА И ГРАЖДАНСКОЙ ЗАЩИТЫ НАСЕЛЕНИЯ ПЕНЗЕНСКОЙ ОБЛАСТИ</w:t>
                  </w:r>
                </w:p>
              </w:tc>
            </w:tr>
            <w:tr w:rsidR="004058C7" w:rsidTr="00C01E10">
              <w:trPr>
                <w:trHeight w:hRule="exact" w:val="397"/>
              </w:trPr>
              <w:tc>
                <w:tcPr>
                  <w:tcW w:w="9606" w:type="dxa"/>
                </w:tcPr>
                <w:p w:rsidR="004058C7" w:rsidRDefault="004058C7" w:rsidP="00C01E10">
                  <w:pPr>
                    <w:framePr w:wrap="around" w:vAnchor="page" w:hAnchor="page" w:x="1418" w:y="2409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  <w:tr w:rsidR="004058C7" w:rsidTr="00C01E10">
              <w:tc>
                <w:tcPr>
                  <w:tcW w:w="9606" w:type="dxa"/>
                </w:tcPr>
                <w:p w:rsidR="004058C7" w:rsidRDefault="004058C7" w:rsidP="00C01E10">
                  <w:pPr>
                    <w:pStyle w:val="3"/>
                    <w:framePr w:wrap="around" w:vAnchor="page" w:hAnchor="page" w:x="1418" w:y="2409"/>
                    <w:rPr>
                      <w:sz w:val="32"/>
                      <w:szCs w:val="32"/>
                    </w:rPr>
                  </w:pPr>
                  <w:r>
                    <w:rPr>
                      <w:sz w:val="36"/>
                      <w:szCs w:val="32"/>
                    </w:rPr>
                    <w:t xml:space="preserve"> </w:t>
                  </w:r>
                  <w:proofErr w:type="gramStart"/>
                  <w:r>
                    <w:rPr>
                      <w:sz w:val="36"/>
                      <w:szCs w:val="32"/>
                    </w:rPr>
                    <w:t>П</w:t>
                  </w:r>
                  <w:proofErr w:type="gramEnd"/>
                  <w:r>
                    <w:rPr>
                      <w:sz w:val="36"/>
                      <w:szCs w:val="32"/>
                    </w:rPr>
                    <w:t xml:space="preserve"> Р И К А З </w:t>
                  </w:r>
                </w:p>
              </w:tc>
            </w:tr>
          </w:tbl>
          <w:p w:rsidR="004058C7" w:rsidRDefault="004058C7" w:rsidP="00C01E10">
            <w:pPr>
              <w:framePr w:wrap="around" w:vAnchor="page" w:hAnchor="page" w:x="1418" w:y="2409"/>
              <w:jc w:val="center"/>
              <w:rPr>
                <w:b/>
                <w:sz w:val="28"/>
                <w:szCs w:val="28"/>
              </w:rPr>
            </w:pPr>
          </w:p>
        </w:tc>
      </w:tr>
      <w:tr w:rsidR="004058C7" w:rsidTr="00C01E10">
        <w:trPr>
          <w:trHeight w:hRule="exact" w:val="340"/>
        </w:trPr>
        <w:tc>
          <w:tcPr>
            <w:tcW w:w="9606" w:type="dxa"/>
            <w:vAlign w:val="center"/>
          </w:tcPr>
          <w:p w:rsidR="004058C7" w:rsidRDefault="004058C7" w:rsidP="00C01E10">
            <w:pPr>
              <w:pStyle w:val="3"/>
              <w:framePr w:wrap="around" w:vAnchor="page" w:hAnchor="page" w:x="1418" w:y="2409"/>
              <w:rPr>
                <w:sz w:val="16"/>
                <w:szCs w:val="16"/>
              </w:rPr>
            </w:pPr>
          </w:p>
        </w:tc>
      </w:tr>
    </w:tbl>
    <w:p w:rsidR="004058C7" w:rsidRDefault="004058C7" w:rsidP="004058C7">
      <w:pPr>
        <w:rPr>
          <w:vanish/>
        </w:rPr>
      </w:pPr>
    </w:p>
    <w:tbl>
      <w:tblPr>
        <w:tblpPr w:leftFromText="180" w:rightFromText="180" w:vertAnchor="text" w:horzAnchor="margin" w:tblpXSpec="center" w:tblpY="263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4058C7" w:rsidTr="00C01E10">
        <w:tc>
          <w:tcPr>
            <w:tcW w:w="284" w:type="dxa"/>
            <w:vAlign w:val="bottom"/>
          </w:tcPr>
          <w:p w:rsidR="004058C7" w:rsidRDefault="004058C7" w:rsidP="00C01E10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4058C7" w:rsidRDefault="004058C7" w:rsidP="00045D46">
            <w:pPr>
              <w:rPr>
                <w:sz w:val="24"/>
              </w:rPr>
            </w:pPr>
          </w:p>
        </w:tc>
        <w:tc>
          <w:tcPr>
            <w:tcW w:w="397" w:type="dxa"/>
          </w:tcPr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t xml:space="preserve">  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4058C7" w:rsidRDefault="004058C7" w:rsidP="00C01E10">
            <w:pPr>
              <w:jc w:val="center"/>
              <w:rPr>
                <w:sz w:val="24"/>
              </w:rPr>
            </w:pPr>
          </w:p>
        </w:tc>
      </w:tr>
      <w:tr w:rsidR="004058C7" w:rsidTr="00C01E10">
        <w:tc>
          <w:tcPr>
            <w:tcW w:w="4650" w:type="dxa"/>
            <w:gridSpan w:val="4"/>
          </w:tcPr>
          <w:p w:rsidR="004058C7" w:rsidRDefault="004058C7" w:rsidP="00C01E10">
            <w:pPr>
              <w:jc w:val="center"/>
              <w:rPr>
                <w:sz w:val="10"/>
              </w:rPr>
            </w:pPr>
            <w:r>
              <w:rPr>
                <w:sz w:val="24"/>
              </w:rPr>
              <w:t xml:space="preserve"> </w:t>
            </w:r>
          </w:p>
          <w:p w:rsidR="004058C7" w:rsidRDefault="004058C7" w:rsidP="00C01E1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Пенза</w:t>
            </w:r>
            <w:r>
              <w:rPr>
                <w:b/>
                <w:sz w:val="24"/>
              </w:rPr>
              <w:t xml:space="preserve"> </w:t>
            </w:r>
          </w:p>
        </w:tc>
      </w:tr>
    </w:tbl>
    <w:p w:rsidR="004058C7" w:rsidRDefault="004058C7" w:rsidP="004058C7">
      <w:pPr>
        <w:spacing w:after="1" w:line="280" w:lineRule="atLeast"/>
        <w:rPr>
          <w:sz w:val="36"/>
        </w:rPr>
      </w:pPr>
    </w:p>
    <w:p w:rsidR="004058C7" w:rsidRDefault="004058C7" w:rsidP="000801D3">
      <w:pPr>
        <w:outlineLvl w:val="0"/>
        <w:rPr>
          <w:sz w:val="28"/>
        </w:rPr>
      </w:pPr>
    </w:p>
    <w:p w:rsidR="004058C7" w:rsidRDefault="004058C7" w:rsidP="004058C7">
      <w:pPr>
        <w:jc w:val="center"/>
        <w:outlineLvl w:val="0"/>
        <w:rPr>
          <w:b/>
          <w:sz w:val="28"/>
        </w:rPr>
      </w:pPr>
    </w:p>
    <w:p w:rsidR="004058C7" w:rsidRDefault="004058C7" w:rsidP="004058C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О внесении изменений в приказ Департамента по регулированию тарифов и энергосбережению Пензенской области от 07.02.2022 № 7 </w:t>
      </w:r>
    </w:p>
    <w:p w:rsidR="004058C7" w:rsidRDefault="004058C7" w:rsidP="004058C7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(с последующими изменениями)</w:t>
      </w:r>
    </w:p>
    <w:p w:rsidR="004058C7" w:rsidRDefault="004058C7" w:rsidP="004058C7">
      <w:pPr>
        <w:jc w:val="center"/>
        <w:outlineLvl w:val="0"/>
        <w:rPr>
          <w:b/>
          <w:sz w:val="28"/>
        </w:rPr>
      </w:pPr>
    </w:p>
    <w:p w:rsidR="004058C7" w:rsidRDefault="004058C7" w:rsidP="004058C7">
      <w:pPr>
        <w:ind w:firstLine="709"/>
        <w:jc w:val="both"/>
        <w:outlineLvl w:val="0"/>
        <w:rPr>
          <w:b/>
          <w:sz w:val="28"/>
        </w:rPr>
      </w:pPr>
      <w:r>
        <w:rPr>
          <w:sz w:val="28"/>
        </w:rPr>
        <w:t xml:space="preserve">Руководствуясь Положением о Министерстве жилищно-коммунального хозяйства и гражданской защиты населения Пензенской области, утвержденным постановлением Правительства Пензенской области от 19.07.2021 № 424-пП (с последующими изменениями), </w:t>
      </w:r>
      <w:proofErr w:type="gramStart"/>
      <w:r>
        <w:rPr>
          <w:b/>
          <w:sz w:val="28"/>
        </w:rPr>
        <w:t>п</w:t>
      </w:r>
      <w:proofErr w:type="gramEnd"/>
      <w:r>
        <w:rPr>
          <w:b/>
          <w:sz w:val="28"/>
        </w:rPr>
        <w:t xml:space="preserve"> р и к а з ы в а ю:</w:t>
      </w:r>
    </w:p>
    <w:p w:rsidR="004058C7" w:rsidRDefault="004058C7" w:rsidP="004058C7">
      <w:pPr>
        <w:ind w:firstLine="709"/>
        <w:jc w:val="both"/>
        <w:outlineLvl w:val="0"/>
        <w:rPr>
          <w:sz w:val="28"/>
        </w:rPr>
      </w:pPr>
    </w:p>
    <w:p w:rsidR="004058C7" w:rsidRDefault="004058C7" w:rsidP="004058C7">
      <w:pPr>
        <w:pStyle w:val="1"/>
        <w:numPr>
          <w:ilvl w:val="0"/>
          <w:numId w:val="2"/>
        </w:numPr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Внести в приказ Департамента по регулированию тарифов и энергосбережению Пензенской области от 07.02.2022 № 7 «Об утверждении форм проверочных листов (списков контрольных вопросов), используемых Министерством жилищно-коммунального хозяйства и гражданской защиты населения Пензенской области при проведении контрольных (надзорных) мероприятий» (с последующими изменениями) (далее </w:t>
      </w:r>
      <w:r w:rsidR="006C71E4">
        <w:rPr>
          <w:sz w:val="28"/>
          <w:szCs w:val="28"/>
          <w:lang w:eastAsia="ru-RU"/>
        </w:rPr>
        <w:t>–</w:t>
      </w:r>
      <w:r>
        <w:rPr>
          <w:sz w:val="28"/>
          <w:szCs w:val="28"/>
          <w:lang w:eastAsia="ru-RU"/>
        </w:rPr>
        <w:t xml:space="preserve"> приказ) следующие изменения:</w:t>
      </w:r>
    </w:p>
    <w:p w:rsidR="004058C7" w:rsidRDefault="004058C7" w:rsidP="004058C7">
      <w:pPr>
        <w:pStyle w:val="1"/>
        <w:numPr>
          <w:ilvl w:val="1"/>
          <w:numId w:val="1"/>
        </w:numPr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в приложении № 2 «</w:t>
      </w:r>
      <w:r w:rsidRPr="004058C7">
        <w:rPr>
          <w:sz w:val="28"/>
          <w:szCs w:val="28"/>
          <w:lang w:eastAsia="ru-RU"/>
        </w:rPr>
        <w:t>Форма проверочного листа (списка контрольных вопросов), используемого при проведении регионального государственного</w:t>
      </w:r>
      <w:r>
        <w:rPr>
          <w:sz w:val="28"/>
          <w:szCs w:val="28"/>
          <w:lang w:eastAsia="ru-RU"/>
        </w:rPr>
        <w:t xml:space="preserve"> </w:t>
      </w:r>
      <w:r w:rsidRPr="004058C7">
        <w:rPr>
          <w:sz w:val="28"/>
          <w:szCs w:val="28"/>
          <w:lang w:eastAsia="ru-RU"/>
        </w:rPr>
        <w:t>контроля (надзора) за регулируемыми государством ценами (тарифами) в электроэнергетике» к приказу:</w:t>
      </w:r>
    </w:p>
    <w:p w:rsidR="00346F58" w:rsidRPr="004058C7" w:rsidRDefault="00346F58" w:rsidP="00346F58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proofErr w:type="gramStart"/>
      <w:r>
        <w:rPr>
          <w:sz w:val="28"/>
          <w:szCs w:val="28"/>
          <w:lang w:eastAsia="ru-RU"/>
        </w:rPr>
        <w:t>1.1.1. в пункте 2 таблицы «</w:t>
      </w:r>
      <w:r w:rsidRPr="004058C7">
        <w:rPr>
          <w:sz w:val="28"/>
          <w:szCs w:val="28"/>
          <w:lang w:eastAsia="ru-RU"/>
        </w:rPr>
        <w:t>Список вопросов, отр</w:t>
      </w:r>
      <w:r>
        <w:rPr>
          <w:sz w:val="28"/>
          <w:szCs w:val="28"/>
          <w:lang w:eastAsia="ru-RU"/>
        </w:rPr>
        <w:t xml:space="preserve">ажающих содержание обязательных </w:t>
      </w:r>
      <w:r w:rsidRPr="004058C7">
        <w:rPr>
          <w:sz w:val="28"/>
          <w:szCs w:val="28"/>
          <w:lang w:eastAsia="ru-RU"/>
        </w:rPr>
        <w:t>требований, ответы на кот</w:t>
      </w:r>
      <w:r>
        <w:rPr>
          <w:sz w:val="28"/>
          <w:szCs w:val="28"/>
          <w:lang w:eastAsia="ru-RU"/>
        </w:rPr>
        <w:t xml:space="preserve">орые однозначно свидетельствуют </w:t>
      </w:r>
      <w:r w:rsidRPr="004058C7">
        <w:rPr>
          <w:sz w:val="28"/>
          <w:szCs w:val="28"/>
          <w:lang w:eastAsia="ru-RU"/>
        </w:rPr>
        <w:t>о соблюдении или несоблюдении юридическим лицом,</w:t>
      </w:r>
      <w:r>
        <w:rPr>
          <w:sz w:val="28"/>
          <w:szCs w:val="28"/>
          <w:lang w:eastAsia="ru-RU"/>
        </w:rPr>
        <w:t xml:space="preserve"> </w:t>
      </w:r>
      <w:r w:rsidRPr="004058C7">
        <w:rPr>
          <w:sz w:val="28"/>
          <w:szCs w:val="28"/>
          <w:lang w:eastAsia="ru-RU"/>
        </w:rPr>
        <w:t xml:space="preserve">индивидуальным предпринимателем (далее </w:t>
      </w:r>
      <w:r>
        <w:rPr>
          <w:sz w:val="28"/>
          <w:szCs w:val="28"/>
          <w:lang w:eastAsia="ru-RU"/>
        </w:rPr>
        <w:t>–</w:t>
      </w:r>
      <w:r w:rsidRPr="004058C7">
        <w:rPr>
          <w:sz w:val="28"/>
          <w:szCs w:val="28"/>
          <w:lang w:eastAsia="ru-RU"/>
        </w:rPr>
        <w:t xml:space="preserve"> контролируемое</w:t>
      </w:r>
      <w:r>
        <w:rPr>
          <w:sz w:val="28"/>
          <w:szCs w:val="28"/>
          <w:lang w:eastAsia="ru-RU"/>
        </w:rPr>
        <w:t xml:space="preserve"> </w:t>
      </w:r>
      <w:r w:rsidRPr="004058C7">
        <w:rPr>
          <w:sz w:val="28"/>
          <w:szCs w:val="28"/>
          <w:lang w:eastAsia="ru-RU"/>
        </w:rPr>
        <w:t>лицо) обязательных требований:</w:t>
      </w:r>
      <w:r>
        <w:rPr>
          <w:sz w:val="28"/>
          <w:szCs w:val="28"/>
          <w:lang w:eastAsia="ru-RU"/>
        </w:rPr>
        <w:t xml:space="preserve">» (далее – Таблица) слово «контрольным» заменить словом «контролируемым»; </w:t>
      </w:r>
      <w:proofErr w:type="gramEnd"/>
    </w:p>
    <w:p w:rsidR="004058C7" w:rsidRDefault="00346F58" w:rsidP="004058C7">
      <w:pPr>
        <w:pStyle w:val="1"/>
        <w:tabs>
          <w:tab w:val="left" w:pos="992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1.1.2</w:t>
      </w:r>
      <w:r w:rsidR="00094404">
        <w:rPr>
          <w:sz w:val="28"/>
          <w:szCs w:val="28"/>
          <w:lang w:eastAsia="ru-RU"/>
        </w:rPr>
        <w:t xml:space="preserve">. пункты </w:t>
      </w:r>
      <w:r w:rsidR="00536AAB">
        <w:rPr>
          <w:sz w:val="28"/>
          <w:szCs w:val="28"/>
          <w:lang w:eastAsia="ru-RU"/>
        </w:rPr>
        <w:t>5,</w:t>
      </w:r>
      <w:r w:rsidR="004058C7" w:rsidRPr="00AD3F3F">
        <w:rPr>
          <w:sz w:val="28"/>
          <w:szCs w:val="28"/>
          <w:lang w:eastAsia="ru-RU"/>
        </w:rPr>
        <w:t xml:space="preserve"> 6, 8</w:t>
      </w:r>
      <w:r w:rsidR="004058C7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Таблицы</w:t>
      </w:r>
      <w:r w:rsidR="004058C7">
        <w:rPr>
          <w:sz w:val="28"/>
          <w:szCs w:val="28"/>
          <w:lang w:eastAsia="ru-RU"/>
        </w:rPr>
        <w:t xml:space="preserve"> изложить в следующей редакции: </w:t>
      </w:r>
    </w:p>
    <w:p w:rsidR="004058C7" w:rsidRDefault="004058C7" w:rsidP="004058C7">
      <w:pPr>
        <w:pStyle w:val="1"/>
        <w:tabs>
          <w:tab w:val="left" w:pos="992"/>
        </w:tabs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</w:p>
    <w:tbl>
      <w:tblPr>
        <w:tblW w:w="10065" w:type="dxa"/>
        <w:tblInd w:w="-2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3175"/>
        <w:gridCol w:w="566"/>
        <w:gridCol w:w="567"/>
        <w:gridCol w:w="1276"/>
        <w:gridCol w:w="1074"/>
      </w:tblGrid>
      <w:tr w:rsid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C002A2" w:rsidRDefault="00C002A2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C002A2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highlight w:val="red"/>
                <w:lang w:val="ru-RU"/>
              </w:rPr>
            </w:pP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Соблюдаются ли сроки строительства (реконструкции, модернизации, </w:t>
            </w: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>технического перевооружения) объектов электроэнергетики?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6073CB" w:rsidRDefault="006D6C55" w:rsidP="006073C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 xml:space="preserve">Пункт 6 статьи 52 </w:t>
            </w:r>
            <w:r w:rsidRPr="006D6C55">
              <w:rPr>
                <w:rFonts w:ascii="Times New Roman" w:eastAsia="Times New Roman" w:hAnsi="Times New Roman" w:cs="Times New Roman"/>
                <w:sz w:val="22"/>
                <w:lang w:val="ru-RU"/>
              </w:rPr>
              <w:t>Градостроительного кодекса Российской Федерации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C002A2" w:rsidRDefault="00C002A2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C002A2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highlight w:val="red"/>
                <w:lang w:val="ru-RU"/>
              </w:rPr>
            </w:pPr>
            <w:proofErr w:type="gramStart"/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t>Имеются ли нарушения при формировании стоимости строительства (реконструкции, модернизации, технического перевооружения, приобретения) объектов электроэнергетики, в том числе при финансировании и освоении капитальных вложений по инвестиционным проектам, в проектной документации, первичных учетных документах, исполнительной документации, договорных отношениях, порядке ценообразования, закупочной деятельности, осуществляемой контролируемым лицом в целях строительства (реконструкции, модернизации, технического перевооружения, приобретения) объектов электроэнергетики?</w:t>
            </w:r>
            <w:proofErr w:type="gramEnd"/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7EA" w:rsidRDefault="00536AAB" w:rsidP="008667EA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ункт 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1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8 </w:t>
            </w:r>
            <w:r w:rsid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Правил</w:t>
            </w:r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осуществления </w:t>
            </w:r>
            <w:proofErr w:type="gramStart"/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>контроля за</w:t>
            </w:r>
            <w:proofErr w:type="gramEnd"/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реализацией инвестиционных программ субъектов электроэнергетики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, утвержденных п</w:t>
            </w:r>
            <w:r w:rsidR="008667EA"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остановление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 w:rsidR="008667EA"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Правительства РФ от 01.12.2009 №</w:t>
            </w:r>
            <w:r w:rsidR="008667EA"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977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«</w:t>
            </w:r>
            <w:r w:rsidR="008667EA"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Об инвестиционных програм</w:t>
            </w:r>
            <w:r w:rsid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мах субъектов электроэнергетики»</w:t>
            </w:r>
          </w:p>
          <w:p w:rsidR="00B00F96" w:rsidRDefault="00B00F96" w:rsidP="00045D4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  <w:p w:rsidR="00536AAB" w:rsidRDefault="00536AAB" w:rsidP="00536AA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Пункт 8 Правил </w:t>
            </w:r>
            <w:r w:rsidRPr="00536AAB">
              <w:rPr>
                <w:rFonts w:ascii="Times New Roman" w:eastAsia="Times New Roman" w:hAnsi="Times New Roman" w:cs="Times New Roman"/>
                <w:sz w:val="22"/>
                <w:lang w:val="ru-RU"/>
              </w:rPr>
              <w:t>утверждения инвестиционных программ субъектов электроэнергетики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, </w:t>
            </w:r>
          </w:p>
          <w:p w:rsidR="00536AAB" w:rsidRPr="006073CB" w:rsidRDefault="00536AAB" w:rsidP="00045D46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утвержденных п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Правительства РФ от 01.12.2009 №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977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«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Об инвестиционных програм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мах субъектов электроэнергетики»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C002A2" w:rsidRDefault="00C002A2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C002A2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highlight w:val="red"/>
                <w:lang w:val="ru-RU"/>
              </w:rPr>
            </w:pPr>
            <w:r w:rsidRPr="00C002A2">
              <w:rPr>
                <w:rFonts w:ascii="Times New Roman" w:eastAsia="Times New Roman" w:hAnsi="Times New Roman" w:cs="Times New Roman"/>
                <w:sz w:val="22"/>
                <w:lang w:val="ru-RU"/>
              </w:rPr>
              <w:t>Достигнуты ли плановые показатели реализации инвестиционной программы?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Default="00B00F96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Пункт 18 </w:t>
            </w:r>
            <w:r w:rsid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Правил</w:t>
            </w:r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осуществления </w:t>
            </w:r>
            <w:proofErr w:type="gramStart"/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>контроля за</w:t>
            </w:r>
            <w:proofErr w:type="gramEnd"/>
            <w:r w:rsidR="005648C7" w:rsidRPr="005648C7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реализацией инвестиционных программ субъектов электроэнергетики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, утвержденных п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остановление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Правительства РФ от 01.12.2009 №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977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«</w:t>
            </w:r>
            <w:r w:rsidRPr="008667EA">
              <w:rPr>
                <w:rFonts w:ascii="Times New Roman" w:eastAsia="Times New Roman" w:hAnsi="Times New Roman" w:cs="Times New Roman"/>
                <w:sz w:val="22"/>
                <w:lang w:val="ru-RU"/>
              </w:rPr>
              <w:t>Об инвестиционных програм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мах субъектов электроэнергетики»</w:t>
            </w:r>
          </w:p>
          <w:p w:rsidR="00B00F96" w:rsidRDefault="00B00F96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  <w:p w:rsidR="00B00F96" w:rsidRPr="004058C7" w:rsidRDefault="00536AAB" w:rsidP="00536AA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highlight w:val="red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Пункт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4 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Методических указаний по расчету количественных показателей инвестиционных программ сетевых организаций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, утвержденных п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риказ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ом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Минэнерго России от 14.03.2016 №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177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«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Об утверждении Методических указаний по расчету количественных показателей </w:t>
            </w:r>
            <w:r w:rsidR="00B00F96" w:rsidRP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>инвестиционных программ сетевых организаций</w:t>
            </w:r>
            <w:r w:rsidR="00B00F96">
              <w:rPr>
                <w:rFonts w:ascii="Times New Roman" w:eastAsia="Times New Roman" w:hAnsi="Times New Roman" w:cs="Times New Roman"/>
                <w:sz w:val="22"/>
                <w:lang w:val="ru-RU"/>
              </w:rPr>
              <w:t>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</w:tbl>
    <w:p w:rsidR="00C002A2" w:rsidRDefault="004058C7" w:rsidP="004058C7">
      <w:pPr>
        <w:pStyle w:val="1"/>
        <w:tabs>
          <w:tab w:val="left" w:pos="992"/>
        </w:tabs>
        <w:jc w:val="both"/>
        <w:rPr>
          <w:sz w:val="28"/>
        </w:rPr>
      </w:pPr>
      <w:r>
        <w:rPr>
          <w:sz w:val="28"/>
        </w:rPr>
        <w:lastRenderedPageBreak/>
        <w:t xml:space="preserve"> </w:t>
      </w:r>
      <w:r w:rsidR="00C002A2">
        <w:rPr>
          <w:sz w:val="28"/>
        </w:rPr>
        <w:t xml:space="preserve">                                                                                                                                ».</w:t>
      </w:r>
    </w:p>
    <w:p w:rsidR="00576172" w:rsidRDefault="00576172" w:rsidP="00576172">
      <w:pPr>
        <w:pStyle w:val="1"/>
        <w:tabs>
          <w:tab w:val="left" w:pos="992"/>
        </w:tabs>
        <w:ind w:firstLine="709"/>
        <w:jc w:val="both"/>
        <w:rPr>
          <w:sz w:val="28"/>
        </w:rPr>
      </w:pPr>
    </w:p>
    <w:p w:rsidR="00576172" w:rsidRDefault="00576172" w:rsidP="00576172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1.1.3. В пунктах 6, 8 Таблицы слова «П</w:t>
      </w:r>
      <w:r w:rsidRPr="006C71E4">
        <w:rPr>
          <w:sz w:val="28"/>
        </w:rPr>
        <w:t xml:space="preserve">ункт 18 Правил осуществления </w:t>
      </w:r>
      <w:proofErr w:type="gramStart"/>
      <w:r w:rsidRPr="006C71E4">
        <w:rPr>
          <w:sz w:val="28"/>
        </w:rPr>
        <w:t>контроля за</w:t>
      </w:r>
      <w:proofErr w:type="gramEnd"/>
      <w:r w:rsidRPr="006C71E4">
        <w:rPr>
          <w:sz w:val="28"/>
        </w:rPr>
        <w:t xml:space="preserve"> реализацией инвестиционных программ субъектов электроэнергетики, утвержденных постановлением Правительства РФ от 01.12.2009 № 977 «Об инвестиционных программах субъектов электроэнергетики</w:t>
      </w:r>
      <w:r>
        <w:rPr>
          <w:sz w:val="28"/>
        </w:rPr>
        <w:t>»» исключить.</w:t>
      </w:r>
    </w:p>
    <w:p w:rsidR="00C002A2" w:rsidRDefault="00C002A2" w:rsidP="004058C7">
      <w:pPr>
        <w:pStyle w:val="1"/>
        <w:tabs>
          <w:tab w:val="left" w:pos="992"/>
        </w:tabs>
        <w:jc w:val="both"/>
        <w:rPr>
          <w:sz w:val="28"/>
        </w:rPr>
      </w:pPr>
    </w:p>
    <w:p w:rsidR="0047783B" w:rsidRDefault="00576172" w:rsidP="0047783B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1.1.4</w:t>
      </w:r>
      <w:r w:rsidR="0047783B">
        <w:rPr>
          <w:sz w:val="28"/>
        </w:rPr>
        <w:t xml:space="preserve">. </w:t>
      </w:r>
      <w:r w:rsidR="00536AAB">
        <w:rPr>
          <w:sz w:val="28"/>
        </w:rPr>
        <w:t xml:space="preserve">дополнить Таблицу пунктами 14.1, </w:t>
      </w:r>
      <w:r w:rsidR="0047783B">
        <w:rPr>
          <w:sz w:val="28"/>
        </w:rPr>
        <w:t>14.2 следующего содержания:</w:t>
      </w:r>
    </w:p>
    <w:p w:rsidR="0047783B" w:rsidRDefault="0047783B" w:rsidP="00346F58">
      <w:pPr>
        <w:pStyle w:val="1"/>
        <w:tabs>
          <w:tab w:val="left" w:pos="992"/>
        </w:tabs>
        <w:jc w:val="both"/>
        <w:rPr>
          <w:sz w:val="28"/>
        </w:rPr>
      </w:pPr>
      <w:r>
        <w:rPr>
          <w:sz w:val="28"/>
        </w:rPr>
        <w:t>«</w:t>
      </w:r>
    </w:p>
    <w:tbl>
      <w:tblPr>
        <w:tblW w:w="9923" w:type="dxa"/>
        <w:tblInd w:w="-2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3175"/>
        <w:gridCol w:w="566"/>
        <w:gridCol w:w="567"/>
        <w:gridCol w:w="1276"/>
        <w:gridCol w:w="932"/>
      </w:tblGrid>
      <w:tr w:rsidR="0047783B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4058C7">
              <w:rPr>
                <w:rFonts w:ascii="Times New Roman" w:eastAsia="Times New Roman" w:hAnsi="Times New Roman" w:cs="Times New Roman"/>
                <w:sz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4.1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Раскрыта ли 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>информация о графиках реализации утвержденных инвестиционных программ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«ж» пункта 12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47783B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14.2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Соблюдены ли сроки раскрытия информации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 графиках реализации утвержденных инвестиционных программ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Пункт 18.1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83B" w:rsidRPr="004058C7" w:rsidRDefault="0047783B" w:rsidP="006A6D84">
            <w:pPr>
              <w:pStyle w:val="ConsPlusNormal"/>
              <w:rPr>
                <w:highlight w:val="red"/>
                <w:lang w:val="ru-RU"/>
              </w:rPr>
            </w:pPr>
          </w:p>
        </w:tc>
      </w:tr>
    </w:tbl>
    <w:p w:rsidR="0047783B" w:rsidRDefault="0047783B" w:rsidP="0047783B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».</w:t>
      </w:r>
    </w:p>
    <w:p w:rsidR="0047783B" w:rsidRDefault="0047783B" w:rsidP="0047783B">
      <w:pPr>
        <w:pStyle w:val="1"/>
        <w:tabs>
          <w:tab w:val="left" w:pos="992"/>
        </w:tabs>
        <w:jc w:val="both"/>
        <w:rPr>
          <w:sz w:val="28"/>
        </w:rPr>
      </w:pPr>
    </w:p>
    <w:p w:rsidR="0047783B" w:rsidRDefault="00576172" w:rsidP="00B00F96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1.1.5</w:t>
      </w:r>
      <w:r w:rsidR="004058C7">
        <w:rPr>
          <w:sz w:val="28"/>
        </w:rPr>
        <w:t xml:space="preserve">. </w:t>
      </w:r>
      <w:r w:rsidR="0047783B">
        <w:rPr>
          <w:sz w:val="28"/>
        </w:rPr>
        <w:t>пункты 27-30 Таблицы изложить в следующей редакции:</w:t>
      </w:r>
    </w:p>
    <w:p w:rsidR="00C002A2" w:rsidRDefault="0047783B" w:rsidP="004058C7">
      <w:pPr>
        <w:pStyle w:val="1"/>
        <w:tabs>
          <w:tab w:val="left" w:pos="992"/>
        </w:tabs>
        <w:jc w:val="both"/>
        <w:rPr>
          <w:sz w:val="28"/>
        </w:rPr>
      </w:pPr>
      <w:r>
        <w:rPr>
          <w:sz w:val="28"/>
        </w:rPr>
        <w:t xml:space="preserve"> </w:t>
      </w:r>
      <w:r w:rsidR="00C002A2">
        <w:rPr>
          <w:sz w:val="28"/>
        </w:rPr>
        <w:t>«</w:t>
      </w:r>
    </w:p>
    <w:tbl>
      <w:tblPr>
        <w:tblW w:w="9923" w:type="dxa"/>
        <w:tblInd w:w="-2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3175"/>
        <w:gridCol w:w="566"/>
        <w:gridCol w:w="567"/>
        <w:gridCol w:w="1276"/>
        <w:gridCol w:w="932"/>
      </w:tblGrid>
      <w:tr w:rsidR="004058C7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7783B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27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Раскрыта ли </w:t>
            </w:r>
            <w:r w:rsidRPr="004058C7">
              <w:rPr>
                <w:rFonts w:ascii="Times New Roman" w:eastAsia="Times New Roman" w:hAnsi="Times New Roman" w:cs="Times New Roman"/>
                <w:sz w:val="22"/>
                <w:lang w:val="ru-RU"/>
              </w:rPr>
              <w:t>информация об инвестиционной программе (о проекте инвестиционной программы) и обосновывающих ее материалах (за исключением сведений, составляющих государственную тайну)</w:t>
            </w:r>
            <w:r w:rsid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>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Default="000814EF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«д» пункта 12 Стандартов раскрытия информации субъектами оптового и розничных рынков электрической энергии, утвержденных постановление</w:t>
            </w:r>
            <w:r w:rsidR="00094404"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Правительства РФ от 21.01.2004 № 24 «Об утверждении стандартов раскрытия информации субъектами оптового и розничных рынков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>электрической энергии»</w:t>
            </w:r>
          </w:p>
          <w:p w:rsidR="001044C3" w:rsidRDefault="001044C3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  <w:p w:rsidR="001044C3" w:rsidRPr="004058C7" w:rsidRDefault="001044C3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«м» пункта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 (за исключением абзацев 11-13, 16)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0814EF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47783B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lastRenderedPageBreak/>
              <w:t>28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Default="000814EF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0814E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Соблюдены ли сроки</w:t>
            </w:r>
            <w:r w:rsidRPr="000814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раскрытия</w:t>
            </w:r>
            <w:r w:rsidRPr="000814EF">
              <w:rPr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информации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об инвестиционной программе (о проекте инвестиционной программы) и обосновывающих ее материалах (за исключением сведений, составляющих государственную тайну)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Default="00723AF9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Пункт 18.1 Стандартов раскрытия информации субъектами оптового и розничных рынков электрической энергии, утвержденных постановление</w:t>
            </w:r>
            <w:r w:rsidR="00094404"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4058C7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7783B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29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0814EF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Раскрыта ли 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информация об </w:t>
            </w:r>
            <w:proofErr w:type="gramStart"/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>отчетах</w:t>
            </w:r>
            <w:proofErr w:type="gramEnd"/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 реализации инвестиционной программы и обосновывающих их материалах (за исключением сведений, сост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авляющих государственную тайну)?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Default="000814EF" w:rsidP="000814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«е» пункта 12 Стандартов раскрытия информации субъектами оптового и розничных рынков электрической энергии, утвержденных постановление</w:t>
            </w:r>
            <w:r w:rsidR="00094404"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  <w:p w:rsidR="001044C3" w:rsidRDefault="001044C3" w:rsidP="000814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  <w:p w:rsidR="001044C3" w:rsidRPr="004058C7" w:rsidRDefault="001044C3" w:rsidP="001044C3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«н» пункта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8C7" w:rsidRPr="004058C7" w:rsidRDefault="004058C7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0814EF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Default="0047783B" w:rsidP="00C01E1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30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Default="000814EF" w:rsidP="00C01E1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0814E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Соблюдены ли сроки</w:t>
            </w:r>
            <w:r w:rsidRPr="000814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раскрытия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информации</w:t>
            </w:r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об </w:t>
            </w:r>
            <w:proofErr w:type="gramStart"/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>отчетах</w:t>
            </w:r>
            <w:proofErr w:type="gramEnd"/>
            <w:r w:rsidRPr="000814EF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 реализации инвестиционной программы и обосновывающих их материалах (за исключением сведений, сост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авляющих государственную тайну)?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Default="00723AF9" w:rsidP="000814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Пункт 18.1 Стандартов раскрытия информации субъектами оптового и розничных рынков электрической энергии, утвержденных постановление</w:t>
            </w:r>
            <w:r w:rsidR="00094404">
              <w:rPr>
                <w:rFonts w:ascii="Times New Roman" w:eastAsia="Times New Roman" w:hAnsi="Times New Roman" w:cs="Times New Roman"/>
                <w:sz w:val="22"/>
                <w:lang w:val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  <w:p w:rsidR="001044C3" w:rsidRDefault="001044C3" w:rsidP="000814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</w:p>
          <w:p w:rsidR="001044C3" w:rsidRDefault="001044C3" w:rsidP="000814E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Абзац 9 пункта 29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14EF" w:rsidRPr="004058C7" w:rsidRDefault="000814EF" w:rsidP="00C01E10">
            <w:pPr>
              <w:pStyle w:val="ConsPlusNormal"/>
              <w:rPr>
                <w:highlight w:val="red"/>
                <w:lang w:val="ru-RU"/>
              </w:rPr>
            </w:pPr>
          </w:p>
        </w:tc>
      </w:tr>
    </w:tbl>
    <w:p w:rsidR="002F1021" w:rsidRDefault="00C002A2" w:rsidP="002F1021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». </w:t>
      </w:r>
    </w:p>
    <w:p w:rsidR="00576172" w:rsidRDefault="00576172" w:rsidP="002F1021">
      <w:pPr>
        <w:pStyle w:val="1"/>
        <w:tabs>
          <w:tab w:val="left" w:pos="992"/>
        </w:tabs>
        <w:ind w:firstLine="709"/>
        <w:jc w:val="both"/>
        <w:rPr>
          <w:sz w:val="28"/>
        </w:rPr>
      </w:pPr>
    </w:p>
    <w:p w:rsidR="00576172" w:rsidRDefault="00576172" w:rsidP="00576172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1.1.6. В п</w:t>
      </w:r>
      <w:r w:rsidRPr="001044C3">
        <w:rPr>
          <w:sz w:val="28"/>
        </w:rPr>
        <w:t>ункт</w:t>
      </w:r>
      <w:r>
        <w:rPr>
          <w:sz w:val="28"/>
        </w:rPr>
        <w:t xml:space="preserve">е 27 </w:t>
      </w:r>
      <w:r w:rsidRPr="001044C3">
        <w:rPr>
          <w:sz w:val="28"/>
        </w:rPr>
        <w:t xml:space="preserve">Таблицы </w:t>
      </w:r>
      <w:r>
        <w:rPr>
          <w:sz w:val="28"/>
        </w:rPr>
        <w:t>слова «</w:t>
      </w:r>
      <w:r w:rsidRPr="001044C3">
        <w:rPr>
          <w:sz w:val="28"/>
        </w:rPr>
        <w:t>Подпункт «м» пункта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 (за исключением абзацев 11-13, 16)</w:t>
      </w:r>
      <w:r>
        <w:rPr>
          <w:sz w:val="28"/>
        </w:rPr>
        <w:t>» исключить.</w:t>
      </w:r>
    </w:p>
    <w:p w:rsidR="00576172" w:rsidRDefault="00576172" w:rsidP="00576172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1.1.7. В п</w:t>
      </w:r>
      <w:r w:rsidRPr="001044C3">
        <w:rPr>
          <w:sz w:val="28"/>
        </w:rPr>
        <w:t>ункт</w:t>
      </w:r>
      <w:r>
        <w:rPr>
          <w:sz w:val="28"/>
        </w:rPr>
        <w:t xml:space="preserve">е 29 </w:t>
      </w:r>
      <w:r w:rsidRPr="001044C3">
        <w:rPr>
          <w:sz w:val="28"/>
        </w:rPr>
        <w:t xml:space="preserve">Таблицы </w:t>
      </w:r>
      <w:r>
        <w:rPr>
          <w:sz w:val="28"/>
        </w:rPr>
        <w:t>слова «Подпункт «н</w:t>
      </w:r>
      <w:r w:rsidRPr="001044C3">
        <w:rPr>
          <w:sz w:val="28"/>
        </w:rPr>
        <w:t>» пункта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</w:r>
      <w:r>
        <w:rPr>
          <w:sz w:val="28"/>
        </w:rPr>
        <w:t>»</w:t>
      </w:r>
      <w:r w:rsidRPr="001044C3">
        <w:rPr>
          <w:sz w:val="28"/>
        </w:rPr>
        <w:t xml:space="preserve"> </w:t>
      </w:r>
      <w:r>
        <w:rPr>
          <w:sz w:val="28"/>
        </w:rPr>
        <w:t>исключить.</w:t>
      </w:r>
    </w:p>
    <w:p w:rsidR="00BD723B" w:rsidRDefault="00576172" w:rsidP="00576172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1.1.8. В пункте 30 Таблицы слова «</w:t>
      </w:r>
      <w:r w:rsidRPr="001044C3">
        <w:rPr>
          <w:sz w:val="28"/>
        </w:rPr>
        <w:t>Абзац 9 пункта 29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</w:r>
      <w:r>
        <w:rPr>
          <w:sz w:val="28"/>
        </w:rPr>
        <w:t>» исключить.</w:t>
      </w:r>
      <w:r w:rsidR="00B00F96">
        <w:rPr>
          <w:sz w:val="28"/>
        </w:rPr>
        <w:t xml:space="preserve">                                                                                                              </w:t>
      </w:r>
    </w:p>
    <w:p w:rsidR="002F1021" w:rsidRDefault="002F1021" w:rsidP="00B00F96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1.1.</w:t>
      </w:r>
      <w:r w:rsidR="00576172">
        <w:rPr>
          <w:sz w:val="28"/>
        </w:rPr>
        <w:t>9</w:t>
      </w:r>
      <w:r w:rsidR="00536AAB">
        <w:rPr>
          <w:sz w:val="28"/>
        </w:rPr>
        <w:t xml:space="preserve">. дополнить Таблицу пунктами 39, </w:t>
      </w:r>
      <w:r>
        <w:rPr>
          <w:sz w:val="28"/>
        </w:rPr>
        <w:t>40 следующего содержания:</w:t>
      </w:r>
    </w:p>
    <w:p w:rsidR="002F1021" w:rsidRDefault="002F1021" w:rsidP="002F1021">
      <w:pPr>
        <w:pStyle w:val="1"/>
        <w:tabs>
          <w:tab w:val="left" w:pos="992"/>
        </w:tabs>
        <w:jc w:val="both"/>
        <w:rPr>
          <w:sz w:val="28"/>
        </w:rPr>
      </w:pPr>
      <w:r>
        <w:rPr>
          <w:sz w:val="28"/>
        </w:rPr>
        <w:t xml:space="preserve">« </w:t>
      </w:r>
    </w:p>
    <w:tbl>
      <w:tblPr>
        <w:tblW w:w="9923" w:type="dxa"/>
        <w:tblInd w:w="-222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2"/>
        <w:gridCol w:w="2665"/>
        <w:gridCol w:w="3175"/>
        <w:gridCol w:w="566"/>
        <w:gridCol w:w="567"/>
        <w:gridCol w:w="1276"/>
        <w:gridCol w:w="932"/>
      </w:tblGrid>
      <w:tr w:rsidR="002F1021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39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Раскрыта ли </w:t>
            </w:r>
            <w:r w:rsidRPr="004058C7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информация </w:t>
            </w:r>
            <w:r w:rsidRPr="002F1021">
              <w:rPr>
                <w:rFonts w:ascii="Times New Roman" w:eastAsia="Times New Roman" w:hAnsi="Times New Roman" w:cs="Times New Roman"/>
                <w:sz w:val="22"/>
                <w:lang w:val="ru-RU"/>
              </w:rPr>
              <w:t>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Подпункт «ф» пункта 19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</w:tr>
      <w:tr w:rsidR="002F1021" w:rsidRPr="004058C7" w:rsidTr="007A32E6"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40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Default="002F1021" w:rsidP="00C61670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 w:rsidRPr="000814EF">
              <w:rPr>
                <w:rFonts w:ascii="Times New Roman" w:eastAsia="Times New Roman" w:hAnsi="Times New Roman" w:cs="Times New Roman"/>
                <w:sz w:val="22"/>
                <w:szCs w:val="22"/>
                <w:lang w:val="ru-RU"/>
              </w:rPr>
              <w:t>Соблюдены ли сроки</w:t>
            </w:r>
            <w:r w:rsidRPr="000814E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раскрытия</w:t>
            </w:r>
            <w:r w:rsidRPr="000814EF">
              <w:rPr>
                <w:sz w:val="1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информации</w:t>
            </w:r>
            <w:r w:rsidRPr="002F1021">
              <w:rPr>
                <w:rFonts w:ascii="Times New Roman" w:eastAsia="Times New Roman" w:hAnsi="Times New Roman" w:cs="Times New Roman"/>
                <w:sz w:val="22"/>
                <w:lang w:val="ru-RU"/>
              </w:rPr>
              <w:t xml:space="preserve"> об условиях заключенного соглашения об условиях осуществления регулируемых видов деятельности и (или) изменениях, вносимых в соглашение об условиях осуществления регулируемых видов деятельности, о расторжении соглашения об условиях осуществления регулируемых видов деятельности?</w:t>
            </w:r>
          </w:p>
        </w:tc>
        <w:tc>
          <w:tcPr>
            <w:tcW w:w="3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Default="002F1021" w:rsidP="002F1021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2"/>
                <w:lang w:val="ru-RU"/>
              </w:rPr>
              <w:t>Пункт 29.1 Стандартов раскрытия информации субъектами оптового и розничных рынков электрической энергии, утвержденных постановлением Правительства РФ от 21.01.2004 № 24 «Об утверждении стандартов раскрытия информации субъектами оптового и розничных рынков электрической энергии»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1021" w:rsidRPr="004058C7" w:rsidRDefault="002F1021" w:rsidP="00C61670">
            <w:pPr>
              <w:pStyle w:val="ConsPlusNormal"/>
              <w:rPr>
                <w:highlight w:val="red"/>
                <w:lang w:val="ru-RU"/>
              </w:rPr>
            </w:pPr>
          </w:p>
        </w:tc>
      </w:tr>
    </w:tbl>
    <w:p w:rsidR="002F1021" w:rsidRDefault="0086214D" w:rsidP="002F1021">
      <w:pPr>
        <w:pStyle w:val="1"/>
        <w:tabs>
          <w:tab w:val="left" w:pos="992"/>
        </w:tabs>
        <w:jc w:val="both"/>
        <w:rPr>
          <w:sz w:val="28"/>
        </w:rPr>
      </w:pPr>
      <w:r w:rsidRPr="0086214D">
        <w:rPr>
          <w:sz w:val="28"/>
        </w:rPr>
        <w:t xml:space="preserve"> </w:t>
      </w:r>
      <w:r w:rsidR="00C002A2">
        <w:rPr>
          <w:sz w:val="28"/>
        </w:rPr>
        <w:t xml:space="preserve">                                                                                                                               ».</w:t>
      </w:r>
    </w:p>
    <w:p w:rsidR="006C71E4" w:rsidRDefault="00536AAB" w:rsidP="00045D46">
      <w:pPr>
        <w:pStyle w:val="1"/>
        <w:tabs>
          <w:tab w:val="left" w:pos="85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ru-RU"/>
        </w:rPr>
        <w:t>2</w:t>
      </w:r>
      <w:r w:rsidR="004058C7">
        <w:rPr>
          <w:sz w:val="28"/>
          <w:szCs w:val="28"/>
          <w:lang w:eastAsia="ru-RU"/>
        </w:rPr>
        <w:t xml:space="preserve">. </w:t>
      </w:r>
      <w:r w:rsidR="004058C7">
        <w:rPr>
          <w:sz w:val="28"/>
          <w:szCs w:val="28"/>
          <w:lang w:eastAsia="en-US"/>
        </w:rPr>
        <w:t xml:space="preserve">Настоящий приказ вступает в силу с </w:t>
      </w:r>
      <w:r w:rsidR="002F1021">
        <w:rPr>
          <w:sz w:val="28"/>
          <w:szCs w:val="28"/>
          <w:lang w:eastAsia="en-US"/>
        </w:rPr>
        <w:t>момента его официального опубликования</w:t>
      </w:r>
      <w:r w:rsidR="006C71E4">
        <w:rPr>
          <w:sz w:val="28"/>
          <w:szCs w:val="28"/>
          <w:lang w:eastAsia="en-US"/>
        </w:rPr>
        <w:t>, за исключением пунктов</w:t>
      </w:r>
      <w:r w:rsidR="006821C3">
        <w:rPr>
          <w:sz w:val="28"/>
          <w:szCs w:val="28"/>
          <w:lang w:eastAsia="en-US"/>
        </w:rPr>
        <w:t xml:space="preserve"> 1.1.</w:t>
      </w:r>
      <w:r w:rsidR="00576172">
        <w:rPr>
          <w:sz w:val="28"/>
          <w:szCs w:val="28"/>
          <w:lang w:eastAsia="en-US"/>
        </w:rPr>
        <w:t>3</w:t>
      </w:r>
      <w:r w:rsidR="001044C3">
        <w:rPr>
          <w:sz w:val="28"/>
          <w:szCs w:val="28"/>
          <w:lang w:eastAsia="en-US"/>
        </w:rPr>
        <w:t xml:space="preserve"> </w:t>
      </w:r>
      <w:r w:rsidR="00B7522C">
        <w:rPr>
          <w:sz w:val="28"/>
          <w:szCs w:val="28"/>
          <w:lang w:eastAsia="en-US"/>
        </w:rPr>
        <w:t>–</w:t>
      </w:r>
      <w:r w:rsidR="001044C3">
        <w:rPr>
          <w:sz w:val="28"/>
          <w:szCs w:val="28"/>
          <w:lang w:eastAsia="en-US"/>
        </w:rPr>
        <w:t xml:space="preserve"> 1.1.8</w:t>
      </w:r>
      <w:r w:rsidR="00AD3F3F">
        <w:rPr>
          <w:sz w:val="28"/>
          <w:szCs w:val="28"/>
          <w:lang w:eastAsia="en-US"/>
        </w:rPr>
        <w:t xml:space="preserve"> настоящего приказа</w:t>
      </w:r>
      <w:r w:rsidR="006C71E4">
        <w:rPr>
          <w:sz w:val="28"/>
          <w:szCs w:val="28"/>
          <w:lang w:eastAsia="en-US"/>
        </w:rPr>
        <w:t>.</w:t>
      </w:r>
    </w:p>
    <w:p w:rsidR="00536AAB" w:rsidRDefault="00536AAB" w:rsidP="00536AAB">
      <w:pPr>
        <w:pStyle w:val="1"/>
        <w:tabs>
          <w:tab w:val="left" w:pos="85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 Пункты 1.1.3, 1.1.6 – 1.1.8 настоящего приказа вступают в силу с 31.12.2026.</w:t>
      </w:r>
    </w:p>
    <w:p w:rsidR="006C71E4" w:rsidRDefault="00536AAB" w:rsidP="00045D46">
      <w:pPr>
        <w:pStyle w:val="1"/>
        <w:tabs>
          <w:tab w:val="left" w:pos="850"/>
        </w:tabs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6C71E4">
        <w:rPr>
          <w:sz w:val="28"/>
          <w:szCs w:val="28"/>
          <w:lang w:eastAsia="en-US"/>
        </w:rPr>
        <w:t>.</w:t>
      </w:r>
      <w:r w:rsidR="006821C3">
        <w:rPr>
          <w:sz w:val="28"/>
          <w:szCs w:val="28"/>
          <w:lang w:eastAsia="en-US"/>
        </w:rPr>
        <w:t xml:space="preserve"> </w:t>
      </w:r>
      <w:r w:rsidR="0047783B">
        <w:rPr>
          <w:sz w:val="28"/>
          <w:szCs w:val="28"/>
          <w:lang w:eastAsia="en-US"/>
        </w:rPr>
        <w:t>Пункт</w:t>
      </w:r>
      <w:r w:rsidR="001044C3">
        <w:rPr>
          <w:sz w:val="28"/>
          <w:szCs w:val="28"/>
          <w:lang w:eastAsia="en-US"/>
        </w:rPr>
        <w:t>ы</w:t>
      </w:r>
      <w:r>
        <w:rPr>
          <w:sz w:val="28"/>
          <w:szCs w:val="28"/>
          <w:lang w:eastAsia="en-US"/>
        </w:rPr>
        <w:t xml:space="preserve"> 1.1.4,</w:t>
      </w:r>
      <w:bookmarkStart w:id="0" w:name="_GoBack"/>
      <w:bookmarkEnd w:id="0"/>
      <w:r w:rsidR="00576172">
        <w:rPr>
          <w:sz w:val="28"/>
          <w:szCs w:val="28"/>
          <w:lang w:eastAsia="en-US"/>
        </w:rPr>
        <w:t xml:space="preserve"> 1.1.5</w:t>
      </w:r>
      <w:r w:rsidR="006C71E4">
        <w:rPr>
          <w:sz w:val="28"/>
          <w:szCs w:val="28"/>
          <w:lang w:eastAsia="en-US"/>
        </w:rPr>
        <w:t xml:space="preserve"> настоящего приказа</w:t>
      </w:r>
      <w:r w:rsidR="001044C3">
        <w:rPr>
          <w:sz w:val="28"/>
          <w:szCs w:val="28"/>
          <w:lang w:eastAsia="en-US"/>
        </w:rPr>
        <w:t xml:space="preserve"> вступаю</w:t>
      </w:r>
      <w:r w:rsidR="006821C3">
        <w:rPr>
          <w:sz w:val="28"/>
          <w:szCs w:val="28"/>
          <w:lang w:eastAsia="en-US"/>
        </w:rPr>
        <w:t>т в силу с 31.12.2025</w:t>
      </w:r>
      <w:r w:rsidR="006C71E4">
        <w:rPr>
          <w:sz w:val="28"/>
          <w:szCs w:val="28"/>
          <w:lang w:eastAsia="en-US"/>
        </w:rPr>
        <w:t>.</w:t>
      </w:r>
    </w:p>
    <w:p w:rsidR="009D4D75" w:rsidRDefault="00536AAB" w:rsidP="009D4D75">
      <w:pPr>
        <w:pStyle w:val="1"/>
        <w:tabs>
          <w:tab w:val="left" w:pos="850"/>
        </w:tabs>
        <w:ind w:firstLine="709"/>
        <w:jc w:val="both"/>
        <w:rPr>
          <w:sz w:val="28"/>
        </w:rPr>
      </w:pPr>
      <w:r>
        <w:rPr>
          <w:sz w:val="28"/>
          <w:szCs w:val="28"/>
          <w:lang w:eastAsia="en-US"/>
        </w:rPr>
        <w:t>5</w:t>
      </w:r>
      <w:r w:rsidR="00777B1E">
        <w:rPr>
          <w:sz w:val="28"/>
          <w:szCs w:val="28"/>
          <w:lang w:eastAsia="en-US"/>
        </w:rPr>
        <w:t xml:space="preserve">. </w:t>
      </w:r>
      <w:proofErr w:type="gramStart"/>
      <w:r w:rsidR="00777B1E">
        <w:rPr>
          <w:sz w:val="28"/>
          <w:szCs w:val="28"/>
          <w:lang w:eastAsia="en-US"/>
        </w:rPr>
        <w:t>Ус</w:t>
      </w:r>
      <w:r w:rsidR="006B417E">
        <w:rPr>
          <w:sz w:val="28"/>
          <w:szCs w:val="28"/>
          <w:lang w:eastAsia="en-US"/>
        </w:rPr>
        <w:t>тановить, что с 31.12.2025 по 30</w:t>
      </w:r>
      <w:r w:rsidR="00777B1E">
        <w:rPr>
          <w:sz w:val="28"/>
          <w:szCs w:val="28"/>
          <w:lang w:eastAsia="en-US"/>
        </w:rPr>
        <w:t xml:space="preserve">.12.2026 в отношении </w:t>
      </w:r>
      <w:r w:rsidR="006B417E">
        <w:rPr>
          <w:sz w:val="28"/>
          <w:szCs w:val="28"/>
          <w:lang w:eastAsia="en-US"/>
        </w:rPr>
        <w:t>су</w:t>
      </w:r>
      <w:r w:rsidR="00777B1E">
        <w:rPr>
          <w:sz w:val="28"/>
          <w:szCs w:val="28"/>
          <w:lang w:eastAsia="en-US"/>
        </w:rPr>
        <w:t>бъектов электроэнергетики, соответствующих положения</w:t>
      </w:r>
      <w:r w:rsidR="006B417E">
        <w:rPr>
          <w:sz w:val="28"/>
          <w:szCs w:val="28"/>
          <w:lang w:eastAsia="en-US"/>
        </w:rPr>
        <w:t xml:space="preserve">м </w:t>
      </w:r>
      <w:r w:rsidR="00777B1E">
        <w:rPr>
          <w:sz w:val="28"/>
          <w:szCs w:val="28"/>
          <w:lang w:eastAsia="en-US"/>
        </w:rPr>
        <w:t>пу</w:t>
      </w:r>
      <w:r w:rsidR="006B417E">
        <w:rPr>
          <w:sz w:val="28"/>
          <w:szCs w:val="28"/>
          <w:lang w:eastAsia="en-US"/>
        </w:rPr>
        <w:t>нктов</w:t>
      </w:r>
      <w:r w:rsidR="00777B1E">
        <w:rPr>
          <w:sz w:val="28"/>
          <w:szCs w:val="28"/>
          <w:lang w:eastAsia="en-US"/>
        </w:rPr>
        <w:t xml:space="preserve"> 1 и 1(1) критериев</w:t>
      </w:r>
      <w:r w:rsidR="00777B1E" w:rsidRPr="00777B1E">
        <w:rPr>
          <w:sz w:val="28"/>
        </w:rPr>
        <w:t xml:space="preserve"> </w:t>
      </w:r>
      <w:r w:rsidR="00777B1E" w:rsidRPr="006A5EEC">
        <w:rPr>
          <w:sz w:val="28"/>
        </w:rPr>
        <w:t>отнесения субъектов элект</w:t>
      </w:r>
      <w:r w:rsidR="00777B1E">
        <w:rPr>
          <w:sz w:val="28"/>
        </w:rPr>
        <w:t xml:space="preserve">роэнергетики к числу субъектов, </w:t>
      </w:r>
      <w:r w:rsidR="00777B1E" w:rsidRPr="006A5EEC">
        <w:rPr>
          <w:sz w:val="28"/>
        </w:rPr>
        <w:t>инвестиционные програм</w:t>
      </w:r>
      <w:r w:rsidR="00777B1E">
        <w:rPr>
          <w:sz w:val="28"/>
        </w:rPr>
        <w:t xml:space="preserve">мы которых (включая определение </w:t>
      </w:r>
      <w:r w:rsidR="00777B1E" w:rsidRPr="006A5EEC">
        <w:rPr>
          <w:sz w:val="28"/>
        </w:rPr>
        <w:t>источников их финансирования) утверждаютс</w:t>
      </w:r>
      <w:r w:rsidR="00777B1E">
        <w:rPr>
          <w:sz w:val="28"/>
        </w:rPr>
        <w:t xml:space="preserve">я уполномоченным </w:t>
      </w:r>
      <w:r w:rsidR="00777B1E" w:rsidRPr="006A5EEC">
        <w:rPr>
          <w:sz w:val="28"/>
        </w:rPr>
        <w:t>федеральным орг</w:t>
      </w:r>
      <w:r w:rsidR="00777B1E">
        <w:rPr>
          <w:sz w:val="28"/>
        </w:rPr>
        <w:t xml:space="preserve">аном исполнительной власти, или </w:t>
      </w:r>
      <w:r w:rsidR="00777B1E" w:rsidRPr="006A5EEC">
        <w:rPr>
          <w:sz w:val="28"/>
        </w:rPr>
        <w:t>уполномоченным фед</w:t>
      </w:r>
      <w:r w:rsidR="00777B1E">
        <w:rPr>
          <w:sz w:val="28"/>
        </w:rPr>
        <w:t xml:space="preserve">еральным органом исполнительной </w:t>
      </w:r>
      <w:r w:rsidR="00777B1E" w:rsidRPr="006A5EEC">
        <w:rPr>
          <w:sz w:val="28"/>
        </w:rPr>
        <w:t>власти совместно с</w:t>
      </w:r>
      <w:r w:rsidR="00777B1E">
        <w:rPr>
          <w:sz w:val="28"/>
        </w:rPr>
        <w:t xml:space="preserve"> Государственной корпорацией по атомной энергии «</w:t>
      </w:r>
      <w:proofErr w:type="spellStart"/>
      <w:r w:rsidR="00777B1E">
        <w:rPr>
          <w:sz w:val="28"/>
        </w:rPr>
        <w:t>Р</w:t>
      </w:r>
      <w:r w:rsidR="00777B1E" w:rsidRPr="006A5EEC">
        <w:rPr>
          <w:sz w:val="28"/>
        </w:rPr>
        <w:t>осато</w:t>
      </w:r>
      <w:r w:rsidR="00777B1E">
        <w:rPr>
          <w:sz w:val="28"/>
        </w:rPr>
        <w:t>м</w:t>
      </w:r>
      <w:proofErr w:type="spellEnd"/>
      <w:r w:rsidR="00777B1E">
        <w:rPr>
          <w:sz w:val="28"/>
        </w:rPr>
        <w:t>», или органами исполнительной власти субъектов Российской Ф</w:t>
      </w:r>
      <w:r w:rsidR="00777B1E" w:rsidRPr="006A5EEC">
        <w:rPr>
          <w:sz w:val="28"/>
        </w:rPr>
        <w:t>едерации</w:t>
      </w:r>
      <w:r w:rsidR="00777B1E">
        <w:rPr>
          <w:sz w:val="28"/>
        </w:rPr>
        <w:t>, утвержденных</w:t>
      </w:r>
      <w:proofErr w:type="gramEnd"/>
      <w:r w:rsidR="00777B1E">
        <w:rPr>
          <w:sz w:val="28"/>
        </w:rPr>
        <w:t xml:space="preserve"> постановлением Правительства Российской Федерации </w:t>
      </w:r>
      <w:r w:rsidR="00777B1E" w:rsidRPr="006A5EEC">
        <w:rPr>
          <w:sz w:val="28"/>
        </w:rPr>
        <w:t xml:space="preserve">от </w:t>
      </w:r>
      <w:r w:rsidR="00777B1E">
        <w:rPr>
          <w:sz w:val="28"/>
        </w:rPr>
        <w:t>01.12.2009 №</w:t>
      </w:r>
      <w:r w:rsidR="00777B1E" w:rsidRPr="006A5EEC">
        <w:rPr>
          <w:sz w:val="28"/>
        </w:rPr>
        <w:t xml:space="preserve"> 977</w:t>
      </w:r>
      <w:r w:rsidR="00777B1E">
        <w:rPr>
          <w:sz w:val="28"/>
        </w:rPr>
        <w:t xml:space="preserve"> «</w:t>
      </w:r>
      <w:r w:rsidR="00777B1E" w:rsidRPr="006A5EEC">
        <w:rPr>
          <w:sz w:val="28"/>
        </w:rPr>
        <w:t>Об инвестиционных программах субъектов электроэнергетики</w:t>
      </w:r>
      <w:r w:rsidR="00AD3F3F">
        <w:rPr>
          <w:sz w:val="28"/>
        </w:rPr>
        <w:t>»</w:t>
      </w:r>
      <w:r w:rsidR="006B417E">
        <w:rPr>
          <w:sz w:val="28"/>
        </w:rPr>
        <w:t xml:space="preserve"> (далее – Критерии)</w:t>
      </w:r>
      <w:r w:rsidR="0047783B">
        <w:rPr>
          <w:sz w:val="28"/>
        </w:rPr>
        <w:t>, не применяются положения</w:t>
      </w:r>
      <w:r w:rsidR="009D4D75">
        <w:rPr>
          <w:sz w:val="28"/>
        </w:rPr>
        <w:t xml:space="preserve"> абзаца первого столбца третьего</w:t>
      </w:r>
      <w:r w:rsidR="0047783B">
        <w:rPr>
          <w:sz w:val="28"/>
        </w:rPr>
        <w:t xml:space="preserve"> </w:t>
      </w:r>
      <w:r w:rsidR="009D4D75">
        <w:rPr>
          <w:sz w:val="28"/>
        </w:rPr>
        <w:t>пункта</w:t>
      </w:r>
      <w:r w:rsidR="005648C7">
        <w:rPr>
          <w:sz w:val="28"/>
        </w:rPr>
        <w:t xml:space="preserve"> 6, </w:t>
      </w:r>
      <w:r w:rsidR="009D4D75">
        <w:rPr>
          <w:sz w:val="28"/>
        </w:rPr>
        <w:t>абзаца первого столбца третьего пункта 8, абзаца второго столбца третьего пункта 27, абзаца второго столбца третьего пункта 29, абзаца второго столбца третьего пункта 30 Таблицы.</w:t>
      </w:r>
    </w:p>
    <w:p w:rsidR="006B417E" w:rsidRDefault="00536AAB" w:rsidP="00045D46">
      <w:pPr>
        <w:pStyle w:val="1"/>
        <w:tabs>
          <w:tab w:val="left" w:pos="850"/>
        </w:tabs>
        <w:ind w:firstLine="709"/>
        <w:jc w:val="both"/>
        <w:rPr>
          <w:sz w:val="28"/>
        </w:rPr>
      </w:pPr>
      <w:r>
        <w:rPr>
          <w:sz w:val="28"/>
        </w:rPr>
        <w:t>6</w:t>
      </w:r>
      <w:r w:rsidR="006B417E">
        <w:rPr>
          <w:sz w:val="28"/>
        </w:rPr>
        <w:t xml:space="preserve">. Установить, что с 31.12.2025 по 30.12.2026 </w:t>
      </w:r>
      <w:r w:rsidR="006B417E" w:rsidRPr="006B417E">
        <w:rPr>
          <w:sz w:val="28"/>
        </w:rPr>
        <w:t>в отношении субъектов электроэнергетики, соответствующих положениям</w:t>
      </w:r>
      <w:r w:rsidR="001044C3">
        <w:rPr>
          <w:sz w:val="28"/>
        </w:rPr>
        <w:t xml:space="preserve"> пункта 2 Критериев, не применяются положения</w:t>
      </w:r>
      <w:r w:rsidR="006B417E">
        <w:rPr>
          <w:sz w:val="28"/>
        </w:rPr>
        <w:t xml:space="preserve"> пункта 10 Таблицы.</w:t>
      </w:r>
    </w:p>
    <w:p w:rsidR="009D4D75" w:rsidRDefault="00536AAB" w:rsidP="00045D46">
      <w:pPr>
        <w:pStyle w:val="1"/>
        <w:tabs>
          <w:tab w:val="left" w:pos="850"/>
        </w:tabs>
        <w:ind w:firstLine="709"/>
        <w:jc w:val="both"/>
        <w:rPr>
          <w:sz w:val="28"/>
        </w:rPr>
      </w:pPr>
      <w:r>
        <w:rPr>
          <w:sz w:val="28"/>
        </w:rPr>
        <w:t>7</w:t>
      </w:r>
      <w:r w:rsidR="009D4D75">
        <w:rPr>
          <w:sz w:val="28"/>
        </w:rPr>
        <w:t>. Установить, что положения пункта 28 Таблицы не применяются до 30.12.2025.</w:t>
      </w:r>
    </w:p>
    <w:p w:rsidR="00536AAB" w:rsidRDefault="00536AAB" w:rsidP="00536AAB">
      <w:pPr>
        <w:pStyle w:val="1"/>
        <w:tabs>
          <w:tab w:val="left" w:pos="992"/>
        </w:tabs>
        <w:ind w:firstLine="709"/>
        <w:jc w:val="both"/>
        <w:rPr>
          <w:sz w:val="28"/>
        </w:rPr>
      </w:pPr>
      <w:r>
        <w:rPr>
          <w:sz w:val="28"/>
        </w:rPr>
        <w:t>8</w:t>
      </w:r>
      <w:r>
        <w:rPr>
          <w:sz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 в информационно - телекоммуникационной сети «Интернет» и «Официальном </w:t>
      </w:r>
      <w:proofErr w:type="gramStart"/>
      <w:r>
        <w:rPr>
          <w:sz w:val="28"/>
          <w:szCs w:val="28"/>
          <w:lang w:eastAsia="ru-RU"/>
        </w:rPr>
        <w:t>интернет-портале</w:t>
      </w:r>
      <w:proofErr w:type="gramEnd"/>
      <w:r>
        <w:rPr>
          <w:sz w:val="28"/>
          <w:szCs w:val="28"/>
          <w:lang w:eastAsia="ru-RU"/>
        </w:rPr>
        <w:t xml:space="preserve"> правовой информации» (www.pravo.gov.ru).</w:t>
      </w:r>
    </w:p>
    <w:p w:rsidR="004058C7" w:rsidRDefault="009D4D75" w:rsidP="00045D46">
      <w:pPr>
        <w:pStyle w:val="1"/>
        <w:tabs>
          <w:tab w:val="left" w:pos="850"/>
        </w:tabs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</w:t>
      </w:r>
      <w:r w:rsidR="004058C7" w:rsidRPr="00AD3F3F">
        <w:rPr>
          <w:sz w:val="28"/>
          <w:szCs w:val="28"/>
          <w:lang w:eastAsia="ru-RU"/>
        </w:rPr>
        <w:t xml:space="preserve">. </w:t>
      </w:r>
      <w:proofErr w:type="gramStart"/>
      <w:r w:rsidR="004058C7" w:rsidRPr="00AD3F3F">
        <w:rPr>
          <w:sz w:val="28"/>
          <w:szCs w:val="28"/>
          <w:lang w:eastAsia="ru-RU"/>
        </w:rPr>
        <w:t>Контроль за</w:t>
      </w:r>
      <w:proofErr w:type="gramEnd"/>
      <w:r w:rsidR="004058C7" w:rsidRPr="00AD3F3F">
        <w:rPr>
          <w:sz w:val="28"/>
          <w:szCs w:val="28"/>
          <w:lang w:eastAsia="ru-RU"/>
        </w:rPr>
        <w:t xml:space="preserve"> исполнением настоящего приказа возложить на Первого заместителя Министра жилищно-коммунального хозяйства и гражданской защиты населения Пензенской области, координирующего вопросы в сфере утверждения цен (тарифов) и их предельных уровней.</w:t>
      </w:r>
    </w:p>
    <w:p w:rsidR="004058C7" w:rsidRDefault="004058C7" w:rsidP="004058C7">
      <w:pPr>
        <w:pStyle w:val="1"/>
        <w:tabs>
          <w:tab w:val="left" w:pos="850"/>
        </w:tabs>
        <w:ind w:firstLine="539"/>
        <w:jc w:val="both"/>
      </w:pPr>
    </w:p>
    <w:p w:rsidR="004058C7" w:rsidRDefault="004058C7" w:rsidP="004058C7">
      <w:pPr>
        <w:jc w:val="both"/>
        <w:rPr>
          <w:sz w:val="28"/>
          <w:szCs w:val="28"/>
        </w:rPr>
      </w:pPr>
    </w:p>
    <w:p w:rsidR="00AD3F3F" w:rsidRDefault="00AD3F3F" w:rsidP="004058C7">
      <w:pPr>
        <w:jc w:val="both"/>
        <w:rPr>
          <w:sz w:val="28"/>
          <w:szCs w:val="28"/>
        </w:rPr>
      </w:pPr>
    </w:p>
    <w:p w:rsidR="00860ED2" w:rsidRDefault="004058C7" w:rsidP="00B00F96">
      <w:pPr>
        <w:jc w:val="both"/>
      </w:pPr>
      <w:r>
        <w:rPr>
          <w:sz w:val="28"/>
          <w:szCs w:val="28"/>
        </w:rPr>
        <w:t xml:space="preserve">Министр                                                                                                М.А. </w:t>
      </w:r>
      <w:proofErr w:type="spellStart"/>
      <w:r>
        <w:rPr>
          <w:sz w:val="28"/>
          <w:szCs w:val="28"/>
        </w:rPr>
        <w:t>Панюхин</w:t>
      </w:r>
      <w:proofErr w:type="spellEnd"/>
    </w:p>
    <w:sectPr w:rsidR="00860ED2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44244"/>
    <w:multiLevelType w:val="hybridMultilevel"/>
    <w:tmpl w:val="D4DA2E3E"/>
    <w:lvl w:ilvl="0" w:tplc="894E1F40">
      <w:start w:val="1"/>
      <w:numFmt w:val="decimal"/>
      <w:lvlText w:val="%1."/>
      <w:lvlJc w:val="left"/>
    </w:lvl>
    <w:lvl w:ilvl="1" w:tplc="274C1692">
      <w:start w:val="1"/>
      <w:numFmt w:val="lowerLetter"/>
      <w:lvlText w:val="%2."/>
      <w:lvlJc w:val="left"/>
      <w:pPr>
        <w:ind w:left="1440" w:hanging="360"/>
      </w:pPr>
    </w:lvl>
    <w:lvl w:ilvl="2" w:tplc="5072B5A2">
      <w:start w:val="1"/>
      <w:numFmt w:val="lowerRoman"/>
      <w:lvlText w:val="%3."/>
      <w:lvlJc w:val="right"/>
      <w:pPr>
        <w:ind w:left="2160" w:hanging="180"/>
      </w:pPr>
    </w:lvl>
    <w:lvl w:ilvl="3" w:tplc="B540EA44">
      <w:start w:val="1"/>
      <w:numFmt w:val="decimal"/>
      <w:lvlText w:val="%4."/>
      <w:lvlJc w:val="left"/>
      <w:pPr>
        <w:ind w:left="2880" w:hanging="360"/>
      </w:pPr>
    </w:lvl>
    <w:lvl w:ilvl="4" w:tplc="D01C5E3A">
      <w:start w:val="1"/>
      <w:numFmt w:val="lowerLetter"/>
      <w:lvlText w:val="%5."/>
      <w:lvlJc w:val="left"/>
      <w:pPr>
        <w:ind w:left="3600" w:hanging="360"/>
      </w:pPr>
    </w:lvl>
    <w:lvl w:ilvl="5" w:tplc="58A05C22">
      <w:start w:val="1"/>
      <w:numFmt w:val="lowerRoman"/>
      <w:lvlText w:val="%6."/>
      <w:lvlJc w:val="right"/>
      <w:pPr>
        <w:ind w:left="4320" w:hanging="180"/>
      </w:pPr>
    </w:lvl>
    <w:lvl w:ilvl="6" w:tplc="D9B45C7A">
      <w:start w:val="1"/>
      <w:numFmt w:val="decimal"/>
      <w:lvlText w:val="%7."/>
      <w:lvlJc w:val="left"/>
      <w:pPr>
        <w:ind w:left="5040" w:hanging="360"/>
      </w:pPr>
    </w:lvl>
    <w:lvl w:ilvl="7" w:tplc="393AF6C6">
      <w:start w:val="1"/>
      <w:numFmt w:val="lowerLetter"/>
      <w:lvlText w:val="%8."/>
      <w:lvlJc w:val="left"/>
      <w:pPr>
        <w:ind w:left="5760" w:hanging="360"/>
      </w:pPr>
    </w:lvl>
    <w:lvl w:ilvl="8" w:tplc="B00673E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0B1E4A"/>
    <w:multiLevelType w:val="multilevel"/>
    <w:tmpl w:val="CFCAFB6E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8C7"/>
    <w:rsid w:val="00045D46"/>
    <w:rsid w:val="000801D3"/>
    <w:rsid w:val="000814EF"/>
    <w:rsid w:val="00094404"/>
    <w:rsid w:val="001044C3"/>
    <w:rsid w:val="00197921"/>
    <w:rsid w:val="002F1021"/>
    <w:rsid w:val="00346F58"/>
    <w:rsid w:val="004058C7"/>
    <w:rsid w:val="0042723A"/>
    <w:rsid w:val="0047783B"/>
    <w:rsid w:val="00536AAB"/>
    <w:rsid w:val="005417CF"/>
    <w:rsid w:val="005648C7"/>
    <w:rsid w:val="00576172"/>
    <w:rsid w:val="0058541A"/>
    <w:rsid w:val="006073CB"/>
    <w:rsid w:val="006821C3"/>
    <w:rsid w:val="006A5EEC"/>
    <w:rsid w:val="006B417E"/>
    <w:rsid w:val="006C71E4"/>
    <w:rsid w:val="006D6C55"/>
    <w:rsid w:val="00723AF9"/>
    <w:rsid w:val="00777B1E"/>
    <w:rsid w:val="007A32E6"/>
    <w:rsid w:val="0084381C"/>
    <w:rsid w:val="00860ED2"/>
    <w:rsid w:val="0086214D"/>
    <w:rsid w:val="008667EA"/>
    <w:rsid w:val="008B2742"/>
    <w:rsid w:val="009D4D75"/>
    <w:rsid w:val="00AD3F3F"/>
    <w:rsid w:val="00B00F96"/>
    <w:rsid w:val="00B323E1"/>
    <w:rsid w:val="00B7522C"/>
    <w:rsid w:val="00BD723B"/>
    <w:rsid w:val="00C002A2"/>
    <w:rsid w:val="00C94B8A"/>
    <w:rsid w:val="00D85D49"/>
    <w:rsid w:val="00E11189"/>
    <w:rsid w:val="00EE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58C7"/>
    <w:pPr>
      <w:keepNext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058C7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1">
    <w:name w:val="Обычный;Обычный_1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4058C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val="en-US" w:eastAsia="zh-CN"/>
    </w:rPr>
  </w:style>
  <w:style w:type="paragraph" w:styleId="a3">
    <w:name w:val="Balloon Text"/>
    <w:basedOn w:val="a"/>
    <w:link w:val="a4"/>
    <w:uiPriority w:val="99"/>
    <w:semiHidden/>
    <w:unhideWhenUsed/>
    <w:rsid w:val="001044C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44C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7</Pages>
  <Words>1870</Words>
  <Characters>10661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2023-10-04T11:36:00Z</cp:lastPrinted>
  <dcterms:created xsi:type="dcterms:W3CDTF">2023-10-03T07:30:00Z</dcterms:created>
  <dcterms:modified xsi:type="dcterms:W3CDTF">2023-10-04T11:40:00Z</dcterms:modified>
</cp:coreProperties>
</file>