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Пензенской обл. от 17.07.2023 N 602-пП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19.10.2023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июля 2023 г. N 602-пП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Бюджетным </w:t>
      </w:r>
      <w:hyperlink w:history="0" r:id="rId7" w:tooltip="&quot;Бюджетный кодекс Российской Федерации&quot; от 31.07.1998 N 145-ФЗ (ред. от 14.04.2023, с изм. от 22.06.2023) (с изм. и доп., вступ. в силу с 21.05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законами Пензенской области от 16.12.2022 </w:t>
      </w:r>
      <w:hyperlink w:history="0" r:id="rId8" w:tooltip="Закон Пензенской обл. от 16.12.2022 N 3935-ЗПО (ред. от 14.06.2023) &quot;О бюджете Пензенской области на 2023 год и на плановый период 2024 и 2025 годов&quot; (принят ЗС Пензенской обл. 16.12.2022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&quot;, &quot;Дифференцированными нормативами отчислений в местные бюджеты от акцизов на авт {КонсультантПлюс}">
        <w:r>
          <w:rPr>
            <w:sz w:val="20"/>
            <w:color w:val="0000ff"/>
          </w:rPr>
          <w:t xml:space="preserve">N 3935-ЗПО</w:t>
        </w:r>
      </w:hyperlink>
      <w:r>
        <w:rPr>
          <w:sz w:val="20"/>
        </w:rPr>
        <w:t xml:space="preserve"> "О бюджете Пензенской области на 2023 год и плановый период 2024 и 2025 годов" (с последующими изменениями), от 20.09.2005 </w:t>
      </w:r>
      <w:hyperlink w:history="0" r:id="rId9" w:tooltip="Закон Пензенской обл. от 20.09.2005 N 849-ЗПО (ред. от 24.03.2023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21.04.2023 </w:t>
      </w:r>
      <w:hyperlink w:history="0" r:id="rId10" w:tooltip="Закон Пензенской обл. от 21.04.2023 N 4006-ЗПО (ред. от 14.06.2023) &quot;О Правительстве Пензенской области&quot; (принят ЗС Пензенской обл. 21.04.2023) ------------ Недействующая редакция {КонсультантПлюс}">
        <w:r>
          <w:rPr>
            <w:sz w:val="20"/>
            <w:color w:val="0000ff"/>
          </w:rPr>
          <w:t xml:space="preserve">N 4006-ЗПО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1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2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среды" (далее - Порядок 1)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3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Порядка предоставления субсидии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 Субсидия предоставляется при условии заключения в государственной интегрированной информационной системе управления общественными финансами "Электронный бюджет" (далее - ГИИС "Электронный бюджет") соглашения между Министерством и администрацией (уполномоченным органом местного самоуправления) муниципального образования о предоставлении субсидии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4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6</w:t>
        </w:r>
      </w:hyperlink>
      <w:r>
        <w:rPr>
          <w:sz w:val="20"/>
        </w:rPr>
        <w:t xml:space="preserve"> Порядка предоставления субсидии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"6. Муниципальные образования, указанные в пункте 4 настоящего Порядка, для участия в региональном проекте "Формирование комфортной городской среды" подпрограммы 1 "Благоустройство дворовых, общественных территорий" государственной программы (далее - Региональный проект) в 2019 и 2020 годах представляют в Министерство в срок до 10-00 часов 25 марта года предоставления субсидии, а в 2021 и последующие годы реализации Регионального проекта в период с 9-00 часов 20 сентября до 12-00 часов 25 сентября года, предшествующего году предоставления субсидии (далее - Дата окончания приема документов), следующие документы:";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5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третий пункта 6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гарантийное письмо об обеспечении софинансирования муниципальным образованием программных мероприятий в размере не менее 3,85% от общего объема расходного обязательства муниципального образования, в целях софинансирования которого предоставляется субсидия;";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</w:t>
      </w:r>
      <w:hyperlink w:history="0" r:id="rId16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пункта 6</w:t>
        </w:r>
      </w:hyperlink>
      <w:r>
        <w:rPr>
          <w:sz w:val="20"/>
        </w:rPr>
        <w:t xml:space="preserve"> Порядка 1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 </w:t>
      </w:r>
      <w:hyperlink w:history="0" r:id="rId17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6.1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"6.1. В целях получения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заявке, указанной в пункте 6 настоящего Порядка, следующие сведения и документы:";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1.1.6. </w:t>
      </w:r>
      <w:hyperlink w:history="0" r:id="rId18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Критериями отбора муниципальных образований для включения в государственную программу 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муниципальной программы формирования комфортной (современной) городской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предоставление муниципальным образованием гарантийного письма об обеспечении софинансирования муниципальным образованием расходного обязательства;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полнота представления документов, указанных в пунктах 6 и 6.1.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документов в сроки, установленные пунктом 6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Приоритетными считаются муниципальные образования - административный центр Пензенской области, монопрофильные муниципальные образования и муниципальные образования, в программы которых включены комплексные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населения, мероприятий по преобразованию отрасли городского хозяйства посредством внедрения цифровых технологий и платформенных решений.";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1.1.7. </w:t>
      </w:r>
      <w:hyperlink w:history="0" r:id="rId19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пункты 7.1</w:t>
        </w:r>
      </w:hyperlink>
      <w:r>
        <w:rPr>
          <w:sz w:val="20"/>
        </w:rPr>
        <w:t xml:space="preserve"> и </w:t>
      </w:r>
      <w:hyperlink w:history="0" r:id="rId20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7.2</w:t>
        </w:r>
      </w:hyperlink>
      <w:r>
        <w:rPr>
          <w:sz w:val="20"/>
        </w:rPr>
        <w:t xml:space="preserve"> Порядка 1 признать утратившими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1.1.8. </w:t>
      </w:r>
      <w:hyperlink w:history="0" r:id="rId21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пункты 9</w:t>
        </w:r>
      </w:hyperlink>
      <w:r>
        <w:rPr>
          <w:sz w:val="20"/>
        </w:rPr>
        <w:t xml:space="preserve"> - </w:t>
      </w:r>
      <w:hyperlink w:history="0" r:id="rId22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 Министерство в течение трех рабочих дней с Даты окончания приема документов организует их рассмотрение постоянно действующей комиссией Министерства по отбору муниципальных образований для включения в государственную программу Пензенской области "Формирование комфортной городской среды на территории Пензенской области" (далее - Комиссия), состав и порядок работы которой утвержден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заседания Комиссии в течение трех рабочих дней после дня проведения заседания размещается на официальном сайте Министерства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пяти рабочих дней со дня проведения заседания Комиссии Министерство в соответствии с протоколом заседания Комиссии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отказе в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Распределение субсидии утверждается законом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образования, в целях софинансирования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бюджета Пензенской области.";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1.1.9. </w:t>
      </w:r>
      <w:hyperlink w:history="0" r:id="rId23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Предоставление субсидий осуществляется на основании Соглашения, которое заключается Министерством в ГИИС "Электронный бюджет" в соответствии с типовой формой, установленной Министерством финансов Российской Федерации, в течение 30 календарных дней с даты вступления в силу Соглашения о предоставлении субсидии из федерального бюджета бюджету Пензенской области на поддержку государственных программ субъектов Российской Федерации и муниципальных программ формирования комфортной (современной) городской среды на текущий год и содержит следующие положения:";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1.1.10. </w:t>
      </w:r>
      <w:hyperlink w:history="0" r:id="rId24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12.5.1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"12.5.1. Рекомендации главам (администраций) муниципальных образований об обеспечении привлечения к выполнению работ по благоустройству дворовых территорий студенческих строительных отрядов.";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1.1.11. </w:t>
      </w:r>
      <w:hyperlink w:history="0" r:id="rId25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Порядка 1 дополнить подпунктом "и"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"и) выписка из решения представительного органа муниципального образования о бюджете муниципального образования на соответствующий год, подтверждающая наличие бюджетных ассигнований на софинансирование расходного обязательства.";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1.1.12. </w:t>
      </w:r>
      <w:hyperlink w:history="0" r:id="rId26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15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"15. Копии документов, прилагаемых муниципальными образованиями к заявке на перечисление субсидии, заверяются главой (администрации) муниципального образования, либо иным уполномоченным должностным лицом.";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1.1.13. </w:t>
      </w:r>
      <w:hyperlink w:history="0" r:id="rId27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16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"Основанием для отказа в перечислении субсидии из бюджета Пензенской области является непредставление (неполное представление) пакета документов, указанных в пункте 14 настоящего Порядка, либо наличие в представленных муниципальными образованиями документах недостоверных сведений.";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1.1.14. дополнить </w:t>
      </w:r>
      <w:hyperlink w:history="0" r:id="rId28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Порядка 1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"Дополнительные соглашения к Соглашению, предусматривающие внесение в него изменений и его расторжение, заключаются в соответствии с типовой формой, утвержденной Министерством финансов Российской Федерации в ГИИС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включать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Пензенской области, приводящего к невозможности предоставления субсидии в размере, определенном в Соглашении.";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1.1.15. </w:t>
      </w:r>
      <w:hyperlink w:history="0" r:id="rId29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Порядка 1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"20. В случае, если муниципальным образованием допущены нарушения условий Соглашения, установленных п. 12.5 настоящего Порядка, либо не достигнуты значения результатов использования субсидии, установленные Соглашением, к муниципальному образованию применяются меры ответственности, установленные </w:t>
      </w:r>
      <w:hyperlink w:history="0" r:id="rId30" w:tooltip="Постановление Правительства Пензенской обл. от 16.12.2019 N 800-пП (ред. от 20.04.2023) &quot;О формировании, предоставлении и распределении субсидий из бюджета Пензенской области бюджетам муниципальных образований Пензенской области&quot; (вместе с &quot;Правилами формирования, предоставления и распределения субсидий из бюджета Пензенской области бюджетам муниципальных образований Пензенской области&quot;) {КонсультантПлюс}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и </w:t>
      </w:r>
      <w:hyperlink w:history="0" r:id="rId31" w:tooltip="Постановление Правительства Пензенской обл. от 16.12.2019 N 800-пП (ред. от 20.04.2023) &quot;О формировании, предоставлении и распределении субсидий из бюджета Пензенской области бюджетам муниципальных образований Пензенской области&quot; (вместе с &quot;Правилами формирования, предоставления и распределения субсидий из бюджета Пензенской области бюджетам муниципальных образований Пензенской области&quot;)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 Правил формирования, предоставления и распределения субсидии из бюджета Пензенской области бюджетам муниципальных образований, утвержденных постановлением Правительства Пензенской области от 16 декабря 2019 г. N 800-пП (с последующими изменениями).".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32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(городских парков)" (далее - Порядок 2)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в </w:t>
      </w:r>
      <w:hyperlink w:history="0" r:id="rId33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 2 слова "Управлением жилищно-коммунального хозяйства и гражданской защиты населения Пензенской области (далее - Управление)" заменить словами "Министерством жилищно-коммунального хозяйства и гражданской защиты населения Пензенской области (далее - Министерство)";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по </w:t>
      </w:r>
      <w:r>
        <w:rPr>
          <w:sz w:val="20"/>
        </w:rPr>
        <w:t xml:space="preserve">тексту</w:t>
      </w:r>
      <w:r>
        <w:rPr>
          <w:sz w:val="20"/>
        </w:rPr>
        <w:t xml:space="preserve"> Порядка 2 слово "Управление" в соответствующем падеже заменить словом "Министерство" в соответствующем падеже;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1.2.3. </w:t>
      </w:r>
      <w:hyperlink w:history="0" r:id="rId34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5.1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"5.1. Субсидии предоставляются бюджету муниципального образования при условии заключения между Министерством и администрацией (уполномоченным органом местного самоуправления) муниципального образования в государственной интегрированной информационной системе управления общественными финансами "Электронный бюджет" соглашения о предоставлении субсидии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1.2.4. в пункте 5.2 Порядка 2 слова </w:t>
      </w:r>
      <w:hyperlink w:history="0" r:id="rId35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"главой муниципального образования"</w:t>
        </w:r>
      </w:hyperlink>
      <w:r>
        <w:rPr>
          <w:sz w:val="20"/>
        </w:rPr>
        <w:t xml:space="preserve">, "</w:t>
      </w:r>
      <w:r>
        <w:rPr>
          <w:sz w:val="20"/>
        </w:rPr>
        <w:t xml:space="preserve">главой администрации</w:t>
      </w:r>
      <w:r>
        <w:rPr>
          <w:sz w:val="20"/>
        </w:rPr>
        <w:t xml:space="preserve"> муниципального образования" заменить словами "главой (администрации) муниципального образования";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1.2.5. </w:t>
      </w:r>
      <w:hyperlink w:history="0" r:id="rId36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5.2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"5.2. Муниципальные образования, указанные в пункте 2 настоящего Порядка, для участия в подпрограмме 2 "Благоустройство городских парков" государственной программы представляют в Министерство в срок до 1 февраля года предоставления субсидии (далее - Дата окончания приема документов) следующие документы:";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1.2.6. </w:t>
      </w:r>
      <w:hyperlink w:history="0" r:id="rId37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седьмой пункта 5.2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гарантийное письмо об обеспечении софинансирования муниципальным образованием мероприятий по обустройству мест массового отдыха населения (городского парка) в размере не менее 4% от общего объема расходного обязательства муниципального образования, в целях софинансирования которого предоставляется субсидия;";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1.2.7. </w:t>
      </w:r>
      <w:hyperlink w:history="0" r:id="rId38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пункты 5.3</w:t>
        </w:r>
      </w:hyperlink>
      <w:r>
        <w:rPr>
          <w:sz w:val="20"/>
        </w:rPr>
        <w:t xml:space="preserve"> - </w:t>
      </w:r>
      <w:hyperlink w:history="0" r:id="rId39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5.5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"5.3. Критериями отбора муниципальных образований для включения в государственную программу и предоставления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утвержденной муниципальной программе муниципального образования мероприятий по обустройству мест массового отдыха населения (городских парков) на территории городов;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гарантийного письма, содержащего обязательство об обеспечении софинансирования муниципальным образованием расходного обязательства, в целях софинансирования которого предоставляется субсидия;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полнота представления документов, указанных в пункте 5.2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представление документов в сроки, установленные пунктом 5.2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Министерство в установленном порядке регистрирует документы, указанные в пункте 5.2 настоящего Порядка, в день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трех рабочих дней с Даты окончания приема документов организует их рассмотрение постоянно действующей комиссией Министерства по отбору муниципальных образований для включения в государственную программу Пензенской области "Формирование комфортной городской среды на территории Пензенской области" (далее - Комиссия), состав и порядок работы которой утвержден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заседания Комиссии в течение трех рабочих дней после дня проведения заседания размещается на официальном сайте Министерства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пяти рабочих дней со дня проведения заседания Комиссии Министерство в соответствии с протоколом заседания Комиссии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отказе в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Министерство в случае принятия решения о предоставлении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образования, в целях софинансирования которого предоставляется субсидия, с учетом предельного софинансирования расходного обязательства муниципального образования из бюджета Пензенской области.";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1.2.8. </w:t>
      </w:r>
      <w:hyperlink w:history="0" r:id="rId40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5.7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"5.7. Основаниями для отказа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непредставление в установленные сроки или представление не в полном объеме документов, предусмотренных пунктом 5.2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несоответствие представленных документов требованиям действующего законодательства и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муниципального образования критериям, предусмотренным пунктом 5.3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невыполнение условий предоставления Субсидий, предусмотренных пунктом 5.1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наличие в представленных муниципальными образованиями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Министерство заключает с уполномоченным органом муниципального образования Соглашение.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включать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Пензенской области, приводящего к невозможности предоставления субсидии в размере, определенном в Соглашении";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1.2.9. </w:t>
      </w:r>
      <w:hyperlink w:history="0" r:id="rId41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Размер субсидии определяется исходя из объема средств бюджета муниципального образования, предусмотренного на реализацию мероприятий по благоустройству мест массового отдыха населения (городских парков) муниципального образования, указанного в заявке на предоставление субсидии из бюджета Пензенской области, с учетом положений, предусмотренных пунктом 5.5 настоящего Порядка, с учетом предельного уровня софинансирования.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порядке, установленном Федеральным казначейством и Министерством финансов Российской Федерации, после проведения санкционирования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заявке муниципального образования на перечисление субсидии указываются необходимый объем средств в пределах предусмотренной субсидии, расходное обязательство, на осуществление которого субсидия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заявке прилагаются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выписка из решения представительного органа муниципального образования о бюджете муниципального образования на соответствующие год, подтверждающая наличие бюджетных ассигнований на софинансирование расходного обязательства;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контрактов (договоров) на выполнение подрядных работ, поставку, закупку продукции и (или)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актов о приемке выполненных работ (форма КС-2);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справки о стоимости выполненных работ (услуг) и затрат (форма КС-3);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счетов-фактур и (или) товарной накладной (акта приемки-сдачи выполненных работ) подрядных организаций на оплату выполненных работ, поставленных товаров, оказанных услуг, в случае, если контракт (договор) заключен на основании представленных хозяйствующими субъектами коммерческих предложений;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комиссионный акт приемки (осмотра) выполненных работ, подписанный членами общественной муниципальной комиссии, включая представителя финансового органа муниципального образования (муниципального района);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положительного заключения по результатам государственной экспертизы проектной документации и результатов инженерных изысканий (при необходимости), включающей проверку достоверности определения сметной стоимости строительства, реконструкции, капитального ремонта (благоустройства, ремонта) объектов капитального строительства (в случае, если проведение такой экспертизы является обязательным в соответствии с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договора на осуществление строительного контроля (технического надзора), либо постановления администрации муниципального образования о возложении функции строительного контроля (технического надзора) на подведомственное муниципальное учреждение;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заключения (отчета) организации (учреждения), осуществляющего строительный контроль (технический надзор).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перечисляются всем муниципальным образованиям при наличии заключенного в государственной интегрированной информационной системе управления общественными финансами "Электронный бюджет"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Дополнительные соглашения к Соглашению, предусматривающие внесение в него изменений и его расторжение, заключаются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"Электронный бюджет".".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42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130" w:tooltip="АДРЕС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43" w:tooltip="Постановление Правительства Пензенской обл. от 01.09.2017 N 414-пП (ред. от 23.06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603" w:tooltip="АДРЕСНЫЙ 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17 июля 2023 г. N 602-пП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94"/>
        <w:gridCol w:w="1478"/>
        <w:gridCol w:w="3005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 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 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 ул. Воейкова,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 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 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 ул. М. Горького, д. 162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 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11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0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236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Осипенко, д. 42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Красноармейская, д. 27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д.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Гагарина, д. 17, 19,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1, 3, 5, 7, ул. Рабочая, д. 54, 56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Верхозим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Овражная,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1, 2, 3,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5, ул. Ленина, д. 148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15, 16, 17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Герцена, д. 15, ул. Ленина, д. 255, д. 257, д. 259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Яблочкова, д. 2 "Б"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Театральная, д. 1, 2, 4, 5, 6, 8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Первомайская,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Леваневского, 2 "В"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Островского,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8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18, 20, ул. Красноармейская, д. 49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Полевая, д. 22, 24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19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Сердобская, д. 1,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13, 35, 37, 39, 41, 51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18 "А", 20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18, 20, 22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74, 76, ул. К. Анохина, д. 25 "Б"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д. 80, ул. Гагарина, д. 14, 18, ул. Комсомольская, д. 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86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2023 год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62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5, 6, 7,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3,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15, 17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3, 5, 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Чекалина, д. 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Чекалина, д. 62, 64, 66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11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22, 24, 26, 28,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23,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8, 10, 12, 14, 16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1, 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3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Фрунзе, д. 192, пер. Восточный, д. 24, 26, 28,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пер. Восточный, д. 30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д. 41, 43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98 "А"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Коробкова,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Коробкова, д. 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17 июля 2023 г. N 602-пП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603" w:name="P603"/>
    <w:bookmarkEnd w:id="603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551"/>
        <w:gridCol w:w="1786"/>
        <w:gridCol w:w="2721"/>
      </w:tblGrid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70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30-летия Победы, Озерская, Ахунская, Ленина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70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 (I этап)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зданием Управления социальной защиты населения по ул. Ленинская, д. 40 в с. Малая Сердоба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 этап)</w:t>
            </w:r>
          </w:p>
        </w:tc>
      </w:tr>
      <w:tr>
        <w:tc>
          <w:tcPr>
            <w:gridSpan w:val="4"/>
            <w:tcW w:w="870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 в границах ул. Кураева и ул. К. Маркса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Ленина, д. 256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М. Горького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А.С. Пушкина по ул. Ленина, д. 238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 культуры и отдыха "Заречье"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"Спартак"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Зеленая, ул. Первомайская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Красная, ул. Воробьевка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Комсомольская площадь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д. 7 А в с. Чемодановка (II и III этапы)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 (I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Полевая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Молодежная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 перед зданием Дома культуры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Черокманова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Баумана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по ул. Кирова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Семушкина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К. Маркса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Мясникова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Ленинская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 ул. 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памятника им. А.И. Куприна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Победы по ул. Комсомольская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между ул. Московская и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"Центр культуры и искусств"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Алферьевский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Школьная в с. Алферьевка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"Засечный ДЦ"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возле здания ЗАГС по ул. Ленина, д. 152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в парковой зоне XXX лет ВЛКСМ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Коммунистическая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(II этап)</w:t>
            </w:r>
          </w:p>
        </w:tc>
      </w:tr>
      <w:tr>
        <w:tc>
          <w:tcPr>
            <w:gridSpan w:val="4"/>
            <w:tcW w:w="870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в районе моста Дружбы по ул. Набережная реки Пензы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памятнику воинам, погибшим в локальных конфликтах по ул. Октябрьская, 62 "А"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"Солнечная"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Советская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Элеваторная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Макаровка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Подбеково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"Чембар"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районного Дома культуры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зона по ул. Школьная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Молодежная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на пересечении улиц Черокманова и Ленинская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"Победы" сквер "Победы"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Открытая спортивная площадка и пешеходная зона по ул. Кирова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 ул. Рабочий городок совхоза, д. 18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Пионерская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Лунино-1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Ленинская, д. 43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Поцелуева,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Садовая/ул. 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в районе ул. Партизанская, ул. Пионерская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стадион с прилегающими территориями по ул. Урицкого, д. 56 "А"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(парк) по ул. Советская Площадь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по ул. Московская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В.А. Слепцова по ул. Тюрина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Пролетарская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Советская от ул. переулок Коммунальный до ул. Профессиональная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Садовая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Советская от ул. Профессиональная до ул.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gridSpan w:val="4"/>
            <w:tcW w:w="870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2023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 культуры и отдыха им. В.Г. Белинского по ул. Карла Маркса, д. 1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Дому ветеранов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перекрестке ул. Стекловская - ул. Белинского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около МБДОУ "Детский сад N 7"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Почтовая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Базарная, д. 1 "Б"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Лермонтовская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районного Дома культуры (II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памятника погибшим воинам по ул. Площадь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Ленина, д. 111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 от дома N 139 до ул. Пушкина (II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"Победы" сквер "Победы" (II этап благоустройства)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Радищева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стадиону по ул. Гагарина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памятнику "Стела погибшим воинам-землякам"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Площадь Гагарина, д. 20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отдыха по ул. Ломоносова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отдыха по ул. Ленинская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Поцелуева от ул. Планская до ГБУЗ "Мокшанская РБ"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Поцелуева от ул. Советская до ул. Планская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Поцелуева от ГБУЗ "Мокшанская РБ" до пер. Больничный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Гладкова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районного Дома культуры по ул. Ленина, д. 30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"Пороховой погреб" по ул. Московская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Норовский сельсовет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(II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(III этап благоустройства)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МБУК "Золотаревский ДЦ"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П.Н. Яблочкова по ул.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Калинина (II этап благоустройства)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Володарского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Пролетарская (I участок)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Пролетарская (II участок)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пер. Красный от дома N 16 до Советской площади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пер. Красный от площади Советская до ул. Володарского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 (II этап благоустройства)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пер. Советский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им. В.И. Ленина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17.07.2023 N 602-пП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DFF1DE1016D3FB0AB9A7092A6F2A4313EC35B8CC82D7513AE939D5C2F5F4898F063E675C2473F3D0F572006B0KDHEM" TargetMode = "External"/>
	<Relationship Id="rId8" Type="http://schemas.openxmlformats.org/officeDocument/2006/relationships/hyperlink" Target="consultantplus://offline/ref=3DFF1DE1016D3FB0AB9A6E9FB09EFA3E3BCB0783CA257C4CF7C39B0B700F4ECDA223B82C920A74310E403C07B2C3C89CB3KAH5M" TargetMode = "External"/>
	<Relationship Id="rId9" Type="http://schemas.openxmlformats.org/officeDocument/2006/relationships/hyperlink" Target="consultantplus://offline/ref=3DFF1DE1016D3FB0AB9A6E9FB09EFA3E3BCB0783CA257E44F1C49B0B700F4ECDA223B82C920A74310E403C07B2C3C89CB3KAH5M" TargetMode = "External"/>
	<Relationship Id="rId10" Type="http://schemas.openxmlformats.org/officeDocument/2006/relationships/hyperlink" Target="consultantplus://offline/ref=3DFF1DE1016D3FB0AB9A6E9FB09EFA3E3BCB0783CA257C4DFAC69B0B700F4ECDA223B82C920A74310E403C07B2C3C89CB3KAH5M" TargetMode = "External"/>
	<Relationship Id="rId11" Type="http://schemas.openxmlformats.org/officeDocument/2006/relationships/hyperlink" Target="consultantplus://offline/ref=3DFF1DE1016D3FB0AB9A6E9FB09EFA3E3BCB0783CA257D46F5C09B0B700F4ECDA223B82C800A2C3D0F492A07BAD69ECDF5F336E220461B2E717D0F82K7H0M" TargetMode = "External"/>
	<Relationship Id="rId12" Type="http://schemas.openxmlformats.org/officeDocument/2006/relationships/hyperlink" Target="consultantplus://offline/ref=3DFF1DE1016D3FB0AB9A6E9FB09EFA3E3BCB0783CA257D46F5C09B0B700F4ECDA223B82C800A2C3D0F48270FB2D69ECDF5F336E220461B2E717D0F82K7H0M" TargetMode = "External"/>
	<Relationship Id="rId13" Type="http://schemas.openxmlformats.org/officeDocument/2006/relationships/hyperlink" Target="consultantplus://offline/ref=3DFF1DE1016D3FB0AB9A6E9FB09EFA3E3BCB0783CA257D46F5C09B0B700F4ECDA223B82C800A2C3D0F48200FB6D69ECDF5F336E220461B2E717D0F82K7H0M" TargetMode = "External"/>
	<Relationship Id="rId14" Type="http://schemas.openxmlformats.org/officeDocument/2006/relationships/hyperlink" Target="consultantplus://offline/ref=3DFF1DE1016D3FB0AB9A6E9FB09EFA3E3BCB0783CA257D46F5C09B0B700F4ECDA223B82C800A2C3D0F482504B6D69ECDF5F336E220461B2E717D0F82K7H0M" TargetMode = "External"/>
	<Relationship Id="rId15" Type="http://schemas.openxmlformats.org/officeDocument/2006/relationships/hyperlink" Target="consultantplus://offline/ref=3DFF1DE1016D3FB0AB9A6E9FB09EFA3E3BCB0783CA257D46F5C09B0B700F4ECDA223B82C800A2C3D0F482106B2D69ECDF5F336E220461B2E717D0F82K7H0M" TargetMode = "External"/>
	<Relationship Id="rId16" Type="http://schemas.openxmlformats.org/officeDocument/2006/relationships/hyperlink" Target="consultantplus://offline/ref=3DFF1DE1016D3FB0AB9A6E9FB09EFA3E3BCB0783CA257D46F5C09B0B700F4ECDA223B82C800A2C3D0F482106B3D69ECDF5F336E220461B2E717D0F82K7H0M" TargetMode = "External"/>
	<Relationship Id="rId17" Type="http://schemas.openxmlformats.org/officeDocument/2006/relationships/hyperlink" Target="consultantplus://offline/ref=3DFF1DE1016D3FB0AB9A6E9FB09EFA3E3BCB0783CA257D46F5C09B0B700F4ECDA223B82C800A2C3D0F4B2206B7D69ECDF5F336E220461B2E717D0F82K7H0M" TargetMode = "External"/>
	<Relationship Id="rId18" Type="http://schemas.openxmlformats.org/officeDocument/2006/relationships/hyperlink" Target="consultantplus://offline/ref=3DFF1DE1016D3FB0AB9A6E9FB09EFA3E3BCB0783CA257D46F5C09B0B700F4ECDA223B82C800A2C3D0F482107BAD69ECDF5F336E220461B2E717D0F82K7H0M" TargetMode = "External"/>
	<Relationship Id="rId19" Type="http://schemas.openxmlformats.org/officeDocument/2006/relationships/hyperlink" Target="consultantplus://offline/ref=3DFF1DE1016D3FB0AB9A6E9FB09EFA3E3BCB0783CA257D46F5C09B0B700F4ECDA223B82C800A2C3D0F482107BBD69ECDF5F336E220461B2E717D0F82K7H0M" TargetMode = "External"/>
	<Relationship Id="rId20" Type="http://schemas.openxmlformats.org/officeDocument/2006/relationships/hyperlink" Target="consultantplus://offline/ref=3DFF1DE1016D3FB0AB9A6E9FB09EFA3E3BCB0783CA257D46F5C09B0B700F4ECDA223B82C800A2C3D0F482104B2D69ECDF5F336E220461B2E717D0F82K7H0M" TargetMode = "External"/>
	<Relationship Id="rId21" Type="http://schemas.openxmlformats.org/officeDocument/2006/relationships/hyperlink" Target="consultantplus://offline/ref=3DFF1DE1016D3FB0AB9A6E9FB09EFA3E3BCB0783CA257D46F5C09B0B700F4ECDA223B82C800A2C3D0F482504B4D69ECDF5F336E220461B2E717D0F82K7H0M" TargetMode = "External"/>
	<Relationship Id="rId22" Type="http://schemas.openxmlformats.org/officeDocument/2006/relationships/hyperlink" Target="consultantplus://offline/ref=3DFF1DE1016D3FB0AB9A6E9FB09EFA3E3BCB0783CA257D46F5C09B0B700F4ECDA223B82C800A2C3D0F482104B7D69ECDF5F336E220461B2E717D0F82K7H0M" TargetMode = "External"/>
	<Relationship Id="rId23" Type="http://schemas.openxmlformats.org/officeDocument/2006/relationships/hyperlink" Target="consultantplus://offline/ref=3DFF1DE1016D3FB0AB9A6E9FB09EFA3E3BCB0783CA257D46F5C09B0B700F4ECDA223B82C800A2C3D0F482504BAD69ECDF5F336E220461B2E717D0F82K7H0M" TargetMode = "External"/>
	<Relationship Id="rId24" Type="http://schemas.openxmlformats.org/officeDocument/2006/relationships/hyperlink" Target="consultantplus://offline/ref=3DFF1DE1016D3FB0AB9A6E9FB09EFA3E3BCB0783CA257D46F5C09B0B700F4ECDA223B82C800A2C3D0F482100B3D69ECDF5F336E220461B2E717D0F82K7H0M" TargetMode = "External"/>
	<Relationship Id="rId25" Type="http://schemas.openxmlformats.org/officeDocument/2006/relationships/hyperlink" Target="consultantplus://offline/ref=3DFF1DE1016D3FB0AB9A6E9FB09EFA3E3BCB0783CA257D46F5C09B0B700F4ECDA223B82C800A2C3D0F482505B2D69ECDF5F336E220461B2E717D0F82K7H0M" TargetMode = "External"/>
	<Relationship Id="rId26" Type="http://schemas.openxmlformats.org/officeDocument/2006/relationships/hyperlink" Target="consultantplus://offline/ref=3DFF1DE1016D3FB0AB9A6E9FB09EFA3E3BCB0783CA257D46F5C09B0B700F4ECDA223B82C800A2C3D0F48210FB2D69ECDF5F336E220461B2E717D0F82K7H0M" TargetMode = "External"/>
	<Relationship Id="rId27" Type="http://schemas.openxmlformats.org/officeDocument/2006/relationships/hyperlink" Target="consultantplus://offline/ref=3DFF1DE1016D3FB0AB9A6E9FB09EFA3E3BCB0783CA257D46F5C09B0B700F4ECDA223B82C800A2C3D0F48210FB0D69ECDF5F336E220461B2E717D0F82K7H0M" TargetMode = "External"/>
	<Relationship Id="rId28" Type="http://schemas.openxmlformats.org/officeDocument/2006/relationships/hyperlink" Target="consultantplus://offline/ref=3DFF1DE1016D3FB0AB9A6E9FB09EFA3E3BCB0783CA257D46F5C09B0B700F4ECDA223B82C800A2C3D0F48210FB6D69ECDF5F336E220461B2E717D0F82K7H0M" TargetMode = "External"/>
	<Relationship Id="rId29" Type="http://schemas.openxmlformats.org/officeDocument/2006/relationships/hyperlink" Target="consultantplus://offline/ref=3DFF1DE1016D3FB0AB9A6E9FB09EFA3E3BCB0783CA257D46F5C09B0B700F4ECDA223B82C800A2C3D0F48210FB5D69ECDF5F336E220461B2E717D0F82K7H0M" TargetMode = "External"/>
	<Relationship Id="rId30" Type="http://schemas.openxmlformats.org/officeDocument/2006/relationships/hyperlink" Target="consultantplus://offline/ref=3DFF1DE1016D3FB0AB9A6E9FB09EFA3E3BCB0783CA257F44F3CE9B0B700F4ECDA223B82C800A2C3D0F49220FB0D69ECDF5F336E220461B2E717D0F82K7H0M" TargetMode = "External"/>
	<Relationship Id="rId31" Type="http://schemas.openxmlformats.org/officeDocument/2006/relationships/hyperlink" Target="consultantplus://offline/ref=3DFF1DE1016D3FB0AB9A6E9FB09EFA3E3BCB0783CA257F44F3CE9B0B700F4ECDA223B82C800A2C3D0F49230EB4D69ECDF5F336E220461B2E717D0F82K7H0M" TargetMode = "External"/>
	<Relationship Id="rId32" Type="http://schemas.openxmlformats.org/officeDocument/2006/relationships/hyperlink" Target="consultantplus://offline/ref=3DFF1DE1016D3FB0AB9A6E9FB09EFA3E3BCB0783CA257D46F5C09B0B700F4ECDA223B82C800A2C3D0F492706BAD69ECDF5F336E220461B2E717D0F82K7H0M" TargetMode = "External"/>
	<Relationship Id="rId33" Type="http://schemas.openxmlformats.org/officeDocument/2006/relationships/hyperlink" Target="consultantplus://offline/ref=3DFF1DE1016D3FB0AB9A6E9FB09EFA3E3BCB0783CA257D46F5C09B0B700F4ECDA223B82C800A2C3D0F492707B2D69ECDF5F336E220461B2E717D0F82K7H0M" TargetMode = "External"/>
	<Relationship Id="rId34" Type="http://schemas.openxmlformats.org/officeDocument/2006/relationships/hyperlink" Target="consultantplus://offline/ref=3DFF1DE1016D3FB0AB9A6E9FB09EFA3E3BCB0783CA257D46F5C09B0B700F4ECDA223B82C800A2C3D0F492707BBD69ECDF5F336E220461B2E717D0F82K7H0M" TargetMode = "External"/>
	<Relationship Id="rId35" Type="http://schemas.openxmlformats.org/officeDocument/2006/relationships/hyperlink" Target="consultantplus://offline/ref=3DFF1DE1016D3FB0AB9A6E9FB09EFA3E3BCB0783CA257D46F5C09B0B700F4ECDA223B82C800A2C3D0F492704B7D69ECDF5F336E220461B2E717D0F82K7H0M" TargetMode = "External"/>
	<Relationship Id="rId36" Type="http://schemas.openxmlformats.org/officeDocument/2006/relationships/hyperlink" Target="consultantplus://offline/ref=3DFF1DE1016D3FB0AB9A6E9FB09EFA3E3BCB0783CA257D46F5C09B0B700F4ECDA223B82C800A2C3D0F492704B6D69ECDF5F336E220461B2E717D0F82K7H0M" TargetMode = "External"/>
	<Relationship Id="rId37" Type="http://schemas.openxmlformats.org/officeDocument/2006/relationships/hyperlink" Target="consultantplus://offline/ref=3DFF1DE1016D3FB0AB9A6E9FB09EFA3E3BCB0783CA257D46F5C09B0B700F4ECDA223B82C800A2C3D0F492705B2D69ECDF5F336E220461B2E717D0F82K7H0M" TargetMode = "External"/>
	<Relationship Id="rId38" Type="http://schemas.openxmlformats.org/officeDocument/2006/relationships/hyperlink" Target="consultantplus://offline/ref=3DFF1DE1016D3FB0AB9A6E9FB09EFA3E3BCB0783CA257D46F5C09B0B700F4ECDA223B82C800A2C3D0F492705B4D69ECDF5F336E220461B2E717D0F82K7H0M" TargetMode = "External"/>
	<Relationship Id="rId39" Type="http://schemas.openxmlformats.org/officeDocument/2006/relationships/hyperlink" Target="consultantplus://offline/ref=3DFF1DE1016D3FB0AB9A6E9FB09EFA3E3BCB0783CA257D46F5C09B0B700F4ECDA223B82C800A2C3D0F492705BBD69ECDF5F336E220461B2E717D0F82K7H0M" TargetMode = "External"/>
	<Relationship Id="rId40" Type="http://schemas.openxmlformats.org/officeDocument/2006/relationships/hyperlink" Target="consultantplus://offline/ref=3DFF1DE1016D3FB0AB9A6E9FB09EFA3E3BCB0783CA257D46F5C09B0B700F4ECDA223B82C800A2C3D0F492702B3D69ECDF5F336E220461B2E717D0F82K7H0M" TargetMode = "External"/>
	<Relationship Id="rId41" Type="http://schemas.openxmlformats.org/officeDocument/2006/relationships/hyperlink" Target="consultantplus://offline/ref=3DFF1DE1016D3FB0AB9A6E9FB09EFA3E3BCB0783CA257D46F5C09B0B700F4ECDA223B82C800A2C3D0F492503B7D69ECDF5F336E220461B2E717D0F82K7H0M" TargetMode = "External"/>
	<Relationship Id="rId42" Type="http://schemas.openxmlformats.org/officeDocument/2006/relationships/hyperlink" Target="consultantplus://offline/ref=3DFF1DE1016D3FB0AB9A6E9FB09EFA3E3BCB0783CA257D46F5C09B0B700F4ECDA223B82C800A2C3D0F4B2202B7D69ECDF5F336E220461B2E717D0F82K7H0M" TargetMode = "External"/>
	<Relationship Id="rId43" Type="http://schemas.openxmlformats.org/officeDocument/2006/relationships/hyperlink" Target="consultantplus://offline/ref=3DFF1DE1016D3FB0AB9A6E9FB09EFA3E3BCB0783CA257D46F5C09B0B700F4ECDA223B82C800A2C3D0F4B2203B1D69ECDF5F336E220461B2E717D0F82K7H0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17.07.2023 N 602-пП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</dc:title>
  <dcterms:created xsi:type="dcterms:W3CDTF">2023-10-19T12:07:08Z</dcterms:created>
</cp:coreProperties>
</file>