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B5E8F" w14:textId="4A757E3B" w:rsidR="00395EB8" w:rsidRPr="009B37AB" w:rsidRDefault="009B37AB">
      <w:pPr>
        <w:spacing w:after="0" w:line="240" w:lineRule="auto"/>
        <w:ind w:firstLine="540"/>
        <w:jc w:val="both"/>
        <w:rPr>
          <w:rFonts w:ascii="Arial" w:hAnsi="Arial" w:cs="Arial"/>
          <w:sz w:val="20"/>
          <w:szCs w:val="20"/>
        </w:rPr>
      </w:pPr>
      <w:r w:rsidRPr="009B37AB">
        <w:rPr>
          <w:rFonts w:ascii="Arial" w:hAnsi="Arial" w:cs="Arial"/>
          <w:sz w:val="20"/>
          <w:szCs w:val="20"/>
        </w:rPr>
        <w:t>2.4. Исчерпывающий перечень документов и (или) информации, необходимых для осуществления регионального государственного лицензионного контроля предпринимательской деятельности по управлению многоквартирными домами на территории Пензенской области и достижения целей и задач проведения проверки.</w:t>
      </w:r>
    </w:p>
    <w:p w14:paraId="34D77715"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2.4.1. Исчерпывающими документами и (или) информацией, </w:t>
      </w:r>
      <w:proofErr w:type="spellStart"/>
      <w:r>
        <w:rPr>
          <w:rFonts w:ascii="Arial" w:hAnsi="Arial" w:cs="Arial"/>
          <w:sz w:val="20"/>
          <w:szCs w:val="20"/>
        </w:rPr>
        <w:t>истребуемыми</w:t>
      </w:r>
      <w:proofErr w:type="spellEnd"/>
      <w:r>
        <w:rPr>
          <w:rFonts w:ascii="Arial" w:hAnsi="Arial" w:cs="Arial"/>
          <w:sz w:val="20"/>
          <w:szCs w:val="20"/>
        </w:rPr>
        <w:t xml:space="preserve"> в ходе проверки у проверяемого лица, являются:</w:t>
      </w:r>
    </w:p>
    <w:p w14:paraId="49002005"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 Акты осмотров многоквартирных домов;</w:t>
      </w:r>
    </w:p>
    <w:p w14:paraId="24D92CEB"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 Экспертные заключения специализированных организаций, проводивших обследование многоквартирных домов, по заданию организаций по обслуживанию жилищного фонда или собственников;</w:t>
      </w:r>
    </w:p>
    <w:p w14:paraId="3A9D09B0"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 Договоры с подрядными организациями на ремонт (содержание) общего имущества многоквартирных домов;</w:t>
      </w:r>
    </w:p>
    <w:p w14:paraId="3589885E"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 Акты (наряды), проведенных работ по ремонту (содержанию) общего имущества многоквартирных домов;</w:t>
      </w:r>
    </w:p>
    <w:p w14:paraId="7841596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 Годовой план содержания и ремонта общего имущества в многоквартирном доме;</w:t>
      </w:r>
    </w:p>
    <w:p w14:paraId="7E0FF41F"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 Планы проведения восстановительных работ (ремонта) элементов многоквартирного дома;</w:t>
      </w:r>
    </w:p>
    <w:p w14:paraId="4515478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 Протоколы общих собраний собственников помещений многоквартирных домов по вопросам проведения ремонта (содержания) общего имущества многоквартирных домов, использования общего имущества;</w:t>
      </w:r>
    </w:p>
    <w:p w14:paraId="5C656F57"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 Документы технического учета жилищного фонда, содержащие сведения о состоянии общего имущества;</w:t>
      </w:r>
    </w:p>
    <w:p w14:paraId="3A6D3506"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9)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14:paraId="0A97E78C"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10)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14:paraId="009A9A77"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11) Информацию по организации системы диспетчерского контроля и обеспечение диспетчерской связи с кабиной лифта;</w:t>
      </w:r>
    </w:p>
    <w:p w14:paraId="462467F9"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12) Акты проведения осмотров, технического обслуживания и ремонт лифта (лифтов);</w:t>
      </w:r>
    </w:p>
    <w:p w14:paraId="7DB5A3C1"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13) Договоры на обслуживание лифтов, на техническое обслуживание и ремонт лифтов;</w:t>
      </w:r>
    </w:p>
    <w:p w14:paraId="3C5828C9"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14) Заключения технического освидетельствования лифта (лифтов), в том числе после замены элементов оборудования;</w:t>
      </w:r>
    </w:p>
    <w:p w14:paraId="1D2182A9"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15) Заключения (акты) технического диагностирования, обследования лифтов и вывод лифтов из эксплуатации при истечении установленного срока эксплуатации;</w:t>
      </w:r>
    </w:p>
    <w:p w14:paraId="299E467E"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16) Полисы страхования риска ответственности за причинение вреда жизни, здоровью или имуществу других лиц, в случае аварии на лифте, на весь срок эксплуатации;</w:t>
      </w:r>
    </w:p>
    <w:p w14:paraId="380312FC"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17) Паспорт готовности объекта к эксплуатации в зимних условиях;</w:t>
      </w:r>
    </w:p>
    <w:p w14:paraId="68FC24C3"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18) Свидетельства о поверках средств измерений;</w:t>
      </w:r>
    </w:p>
    <w:p w14:paraId="2C1B372A"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19) Договоры о техническом обслуживании и ремонте внутридомового и (или) внутриквартирного газового оборудования;</w:t>
      </w:r>
    </w:p>
    <w:p w14:paraId="2B20166F"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20) Договоры о техническом диагностировании внутридомового и (или) внутриквартирного газового оборудования;</w:t>
      </w:r>
    </w:p>
    <w:p w14:paraId="09096171"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lastRenderedPageBreak/>
        <w:t>21) Договоры со специализированными организациями по проверке, обслуживанию и ремонту вентиляционных каналов и дымоходов;</w:t>
      </w:r>
    </w:p>
    <w:p w14:paraId="47EBD99B"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22) Акты проверок (обслуживания, ремонта) вентиляционных каналов и дымоходов;</w:t>
      </w:r>
    </w:p>
    <w:p w14:paraId="3E07F9EF"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23) Акты, фиксирующие вред, причиненный жизни, здоровью или имуществу потребителя;</w:t>
      </w:r>
    </w:p>
    <w:p w14:paraId="530C0B8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24) Журнал учета жалоб (заявлений, обращений, требований и претензий);</w:t>
      </w:r>
    </w:p>
    <w:p w14:paraId="10225139"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25) Сведения, подтверждающие направление ответа заявителю;</w:t>
      </w:r>
    </w:p>
    <w:p w14:paraId="0F92A6C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26) Сведения (включая документацию на приборы) об остановке и вводе в эксплуатацию коллективного (общедомового) прибора учета коммунальных ресурсов, о наличии и типе установленных индивидуальных, общих (квартирных), комнатных, общедомовых (коллективных) приборов учета, дата и место их установки (введения в эксплуатацию), дата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w:t>
      </w:r>
    </w:p>
    <w:p w14:paraId="08146361"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27) Информация о мероприятиях о проведении мероприятий по энергосбережению и повышению энергетической эффективности многоквартирных домов;</w:t>
      </w:r>
    </w:p>
    <w:p w14:paraId="1135403B"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28) Информация об организации аварийно-диспетчерской службы в многоквартирном доме, в том числе путем заключения договора на оказание услуг с организацией, осуществляющей деятельность по аварийно-диспетчерскому обслуживанию, а также документы, аудио и видео файлы, касающиеся деятельности аварийно-диспетчерской службы;</w:t>
      </w:r>
    </w:p>
    <w:p w14:paraId="42EDCF8E"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29) Договор </w:t>
      </w:r>
      <w:proofErr w:type="spellStart"/>
      <w:r>
        <w:rPr>
          <w:rFonts w:ascii="Arial" w:hAnsi="Arial" w:cs="Arial"/>
          <w:sz w:val="20"/>
          <w:szCs w:val="20"/>
        </w:rPr>
        <w:t>ресурсоснабжения</w:t>
      </w:r>
      <w:proofErr w:type="spellEnd"/>
      <w:r>
        <w:rPr>
          <w:rFonts w:ascii="Arial" w:hAnsi="Arial" w:cs="Arial"/>
          <w:sz w:val="20"/>
          <w:szCs w:val="20"/>
        </w:rPr>
        <w:t xml:space="preserve"> со всеми обязательными приложениями, счета, счета-фактуры;</w:t>
      </w:r>
    </w:p>
    <w:p w14:paraId="3840564D"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30) Информация об определении объема (количества) потребленного коммунального ресурса, определенного исходя из нормативов потребления коммунальных услуг, показаний приборов учета;</w:t>
      </w:r>
    </w:p>
    <w:p w14:paraId="173B880A"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31) Информация о снятии показаний коллективного (общедомового) прибора, в том числе журнал учета показаний коллективных (общедомовых) приборов учета;</w:t>
      </w:r>
    </w:p>
    <w:p w14:paraId="61DEA6B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32) Информация о проверке состояния индивидуальных, общих (квартирных) и комнатных приборов учета, а также распределителей;</w:t>
      </w:r>
    </w:p>
    <w:p w14:paraId="35AEDECD"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33) Пояснительная записка о начисления платы за коммунальные услуги с приложением платежных документов;</w:t>
      </w:r>
    </w:p>
    <w:p w14:paraId="10A61EEA"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34) Расчет платы за коммунальные услуги;</w:t>
      </w:r>
    </w:p>
    <w:p w14:paraId="4FFCB293"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35) Информация о приостановлении или ограничении подачи потребителю коммунальных ресурсов, а также об исполнении порядка приостановления или ограничения, установленного </w:t>
      </w:r>
      <w:hyperlink r:id="rId6" w:tooltip="consultantplus://offline/ref=323F5CD871D448A2B5F7F39B94410FD08CAD3322D2CFA55D798FA0A216FF08AA8F4402E734D1A4838CB7649FF3F7F527E5910E1C11508A4DP0m9N" w:history="1">
        <w:r>
          <w:rPr>
            <w:rFonts w:ascii="Arial" w:hAnsi="Arial" w:cs="Arial"/>
            <w:color w:val="0000FF"/>
            <w:sz w:val="20"/>
            <w:szCs w:val="20"/>
          </w:rPr>
          <w:t>Правилами</w:t>
        </w:r>
      </w:hyperlink>
      <w:r>
        <w:rPr>
          <w:rFonts w:ascii="Arial" w:hAnsi="Arial" w:cs="Arial"/>
          <w:sz w:val="20"/>
          <w:szCs w:val="20"/>
        </w:rPr>
        <w:t xml:space="preserve"> N 354, с приложением подтверждающих документов;</w:t>
      </w:r>
    </w:p>
    <w:p w14:paraId="2C5B9AC1"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36) Информация о привлечении организации или индивидуального предпринимателя для исполнения договорных отношений в части снятия показаний индивидуальных, общих (квартирных), комнатных и коллективных (общедомовых) приборов учета и распределителей, доставки платежных документов потребителям, начисления платы за коммунальные услуги и подготовки доставки платежных документов потребителям;</w:t>
      </w:r>
    </w:p>
    <w:p w14:paraId="514CA06D"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37) Информация об уведомлении потребителя о наличии задолженности по оплате коммунальных услуг или задолженности по уплате неустоек;</w:t>
      </w:r>
    </w:p>
    <w:p w14:paraId="03B345ED"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38) Информация о перерасчете платы за коммунальные услуги, связанные с исполнением требований </w:t>
      </w:r>
      <w:hyperlink r:id="rId7" w:tooltip="consultantplus://offline/ref=323F5CD871D448A2B5F7F39B94410FD08CAD3322D2CFA55D798FA0A216FF08AA8F4402E734D1A4838CB7649FF3F7F527E5910E1C11508A4DP0m9N" w:history="1">
        <w:r>
          <w:rPr>
            <w:rFonts w:ascii="Arial" w:hAnsi="Arial" w:cs="Arial"/>
            <w:color w:val="0000FF"/>
            <w:sz w:val="20"/>
            <w:szCs w:val="20"/>
          </w:rPr>
          <w:t>Правил</w:t>
        </w:r>
      </w:hyperlink>
      <w:r>
        <w:rPr>
          <w:rFonts w:ascii="Arial" w:hAnsi="Arial" w:cs="Arial"/>
          <w:sz w:val="20"/>
          <w:szCs w:val="20"/>
        </w:rPr>
        <w:t xml:space="preserve"> N 354;</w:t>
      </w:r>
    </w:p>
    <w:p w14:paraId="0F8E3DC9"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39) Акты об установлении наличия (отсутствия) технической возможности установки индивидуального, общего (квартирного), общедомового (коллективного) приборов учета;</w:t>
      </w:r>
    </w:p>
    <w:p w14:paraId="5EE513B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40) Информация о степени благоустройства многоквартирных домов и домовладений;</w:t>
      </w:r>
    </w:p>
    <w:p w14:paraId="15317F0A"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41) Пояснительная записка по расчету платы за коммунальную услугу, предоставленную потребителю при использовании земельного участка и расположенных на нем надворных построек, с приложением платежных документов;</w:t>
      </w:r>
    </w:p>
    <w:p w14:paraId="26E36146"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lastRenderedPageBreak/>
        <w:t>42) Соглашение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14:paraId="7C178E9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43) Информация о расчете размера платы для потребителей за коммунальную услугу и объеме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w:t>
      </w:r>
    </w:p>
    <w:p w14:paraId="2EC5769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44) Акты об установлении количества граждан, временно проживающих в жилом помещении,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w:t>
      </w:r>
    </w:p>
    <w:p w14:paraId="6862788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45) Акт об отказе в допуске к прибору учета;</w:t>
      </w:r>
    </w:p>
    <w:p w14:paraId="24B5F94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46) Акт о выявлении несанкционированного подключения;</w:t>
      </w:r>
    </w:p>
    <w:p w14:paraId="742901C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47) Уведомление о необходимости устранить несанкционированное подключение;</w:t>
      </w:r>
    </w:p>
    <w:p w14:paraId="6435A866"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48) Расчет доначисления платы за потребленные без надлежащего учета коммунальные на основании акта о выявлении несанкционированного подключения с приложением платежного документа;</w:t>
      </w:r>
    </w:p>
    <w:p w14:paraId="798A35FB"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49) Информация о рассрочке внесения платы за коммунальную услугу;</w:t>
      </w:r>
    </w:p>
    <w:p w14:paraId="4645D1B9"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50) Акт о несанкционированном вмешательстве в работу прибора учета;</w:t>
      </w:r>
    </w:p>
    <w:p w14:paraId="7F8B83A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51) Документы, подтверждающие порядок проведения проверки установленных и введенных в эксплуатацию индивидуальных, общих (квартирных), комнатных приборов учета и распределителей, в том числе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14:paraId="264617D3"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52) Информация о перерасчете платы за коммунальные услуги ненадлежащего качества с приложением платежных документов и соответствующего расчета;</w:t>
      </w:r>
    </w:p>
    <w:p w14:paraId="6A0CCD3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53) Документы, подтверждающие расходы исполнителя, связанные с введением ограничения, приостановлением и возобновлением предоставления коммунальной услуги потребителю-должнику;</w:t>
      </w:r>
    </w:p>
    <w:p w14:paraId="0828E550"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54) Информация об уплате пользователю штрафа в размере 50 процентов величины превышения начисленной платы над размером платы, которую надлежало начислить в соответствии с </w:t>
      </w:r>
      <w:hyperlink r:id="rId8" w:tooltip="consultantplus://offline/ref=323F5CD871D448A2B5F7F39B94410FD08CAD3322D2CFA55D798FA0A216FF08AA8F4402E734D1A4838CB7649FF3F7F527E5910E1C11508A4DP0m9N" w:history="1">
        <w:r>
          <w:rPr>
            <w:rFonts w:ascii="Arial" w:hAnsi="Arial" w:cs="Arial"/>
            <w:color w:val="0000FF"/>
            <w:sz w:val="20"/>
            <w:szCs w:val="20"/>
          </w:rPr>
          <w:t>Правилами</w:t>
        </w:r>
      </w:hyperlink>
      <w:r>
        <w:rPr>
          <w:rFonts w:ascii="Arial" w:hAnsi="Arial" w:cs="Arial"/>
          <w:sz w:val="20"/>
          <w:szCs w:val="20"/>
        </w:rPr>
        <w:t xml:space="preserve"> N 354;</w:t>
      </w:r>
    </w:p>
    <w:p w14:paraId="23F1E1FD"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55) Информация об уплате неустоек (штрафов, пеней)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w:t>
      </w:r>
    </w:p>
    <w:p w14:paraId="11777C0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56) Договоры, заключенные исполнителем коммунальной услуги со сторонними организациями, при наличии счета-фактуры, акты выполненных работ;</w:t>
      </w:r>
    </w:p>
    <w:p w14:paraId="2FDDFF9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57) Документы, подтверждающие пуск тепловой энергии в многоквартирные дома;</w:t>
      </w:r>
    </w:p>
    <w:p w14:paraId="72A2548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58) Документы, подтверждающие начало и окончание отопительного сезона;</w:t>
      </w:r>
    </w:p>
    <w:p w14:paraId="58910293" w14:textId="6C10E924"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59</w:t>
      </w:r>
      <w:r w:rsidR="00DF029D">
        <w:rPr>
          <w:rFonts w:ascii="Arial" w:hAnsi="Arial" w:cs="Arial"/>
          <w:sz w:val="20"/>
          <w:szCs w:val="20"/>
        </w:rPr>
        <w:t xml:space="preserve">) </w:t>
      </w:r>
      <w:r w:rsidR="00DF029D" w:rsidRPr="00DF029D">
        <w:rPr>
          <w:rFonts w:ascii="Arial" w:hAnsi="Arial" w:cs="Arial"/>
          <w:sz w:val="20"/>
          <w:szCs w:val="20"/>
        </w:rPr>
        <w:t xml:space="preserve">Протокол общего собрания собственников помещений в многоквартирном доме о принятии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либо исходя из объема потребления коммунальных ресурсов, определяемого по показаниям коллективного </w:t>
      </w:r>
      <w:r w:rsidR="00DF029D" w:rsidRPr="00DF029D">
        <w:rPr>
          <w:rFonts w:ascii="Arial" w:hAnsi="Arial" w:cs="Arial"/>
          <w:sz w:val="20"/>
          <w:szCs w:val="20"/>
        </w:rPr>
        <w:lastRenderedPageBreak/>
        <w:t>(общедомового) прибора учета, по тарифам, установленным органами государственной власти субъектов Российской Федерации</w:t>
      </w:r>
      <w:r>
        <w:rPr>
          <w:rFonts w:ascii="Arial" w:hAnsi="Arial" w:cs="Arial"/>
          <w:sz w:val="20"/>
          <w:szCs w:val="20"/>
        </w:rPr>
        <w:t>;</w:t>
      </w:r>
    </w:p>
    <w:p w14:paraId="4E1CAB47" w14:textId="459096D1"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60) </w:t>
      </w:r>
      <w:r w:rsidR="00DF029D" w:rsidRPr="00DF029D">
        <w:rPr>
          <w:rFonts w:ascii="Arial" w:hAnsi="Arial" w:cs="Arial"/>
          <w:sz w:val="20"/>
          <w:szCs w:val="20"/>
        </w:rPr>
        <w:t>Расчет платы за коммунальные ресурсы, потребляемые при использовании и содержании общего имущества, с приложением пояснительной записки и документов, подтверждающих указанный расчет</w:t>
      </w:r>
      <w:r>
        <w:rPr>
          <w:rFonts w:ascii="Arial" w:hAnsi="Arial" w:cs="Arial"/>
          <w:sz w:val="20"/>
          <w:szCs w:val="20"/>
        </w:rPr>
        <w:t>;</w:t>
      </w:r>
    </w:p>
    <w:p w14:paraId="3CE38F85"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61) Договор управления многоквартирным домом;</w:t>
      </w:r>
    </w:p>
    <w:p w14:paraId="0105BB29" w14:textId="4BE93CBD"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62) Пояснительная записка о начислении платы за коммунальные </w:t>
      </w:r>
      <w:r w:rsidR="00DF029D">
        <w:rPr>
          <w:rFonts w:ascii="Arial" w:hAnsi="Arial" w:cs="Arial"/>
          <w:sz w:val="20"/>
          <w:szCs w:val="20"/>
        </w:rPr>
        <w:t>ресурсы</w:t>
      </w:r>
      <w:r>
        <w:rPr>
          <w:rFonts w:ascii="Arial" w:hAnsi="Arial" w:cs="Arial"/>
          <w:sz w:val="20"/>
          <w:szCs w:val="20"/>
        </w:rPr>
        <w:t>, потребляемые при содержании общего имущества в многоквартирном доме, расчет указанных расходов с приложением платежных документов;</w:t>
      </w:r>
    </w:p>
    <w:p w14:paraId="53E9BF3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63) Бухгалтерские документы: счета и счета-фактуры ресурсоснабжающих организаций на оплату энергоресурсов;</w:t>
      </w:r>
    </w:p>
    <w:p w14:paraId="4959074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64) Информация о потреблении собственниками (пользователями) коммунальных ресурсов: по показаниям индивидуальных приборов учета, по нормативам потребления коммунальных услуг,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в случаях, предусмотренных </w:t>
      </w:r>
      <w:hyperlink r:id="rId9" w:tooltip="consultantplus://offline/ref=323F5CD871D448A2B5F7F39B94410FD08CAD3322D2CFA55D798FA0A216FF08AA8F4402E734D1A4838CB7649FF3F7F527E5910E1C11508A4DP0m9N" w:history="1">
        <w:r>
          <w:rPr>
            <w:rFonts w:ascii="Arial" w:hAnsi="Arial" w:cs="Arial"/>
            <w:color w:val="0000FF"/>
            <w:sz w:val="20"/>
            <w:szCs w:val="20"/>
          </w:rPr>
          <w:t>Правилами</w:t>
        </w:r>
      </w:hyperlink>
      <w:r>
        <w:rPr>
          <w:rFonts w:ascii="Arial" w:hAnsi="Arial" w:cs="Arial"/>
          <w:sz w:val="20"/>
          <w:szCs w:val="20"/>
        </w:rPr>
        <w:t xml:space="preserve"> N 354;</w:t>
      </w:r>
    </w:p>
    <w:p w14:paraId="77792ED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65) Пояснительная записка о начислении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расчет указанной выше платы с приложением платежных документов;</w:t>
      </w:r>
    </w:p>
    <w:p w14:paraId="7F06FE90"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66) Решение общего собрания собственников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w:t>
      </w:r>
    </w:p>
    <w:p w14:paraId="4A60E24F"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67) Решение о заключении </w:t>
      </w:r>
      <w:proofErr w:type="spellStart"/>
      <w:r>
        <w:rPr>
          <w:rFonts w:ascii="Arial" w:hAnsi="Arial" w:cs="Arial"/>
          <w:sz w:val="20"/>
          <w:szCs w:val="20"/>
        </w:rPr>
        <w:t>энергосервисного</w:t>
      </w:r>
      <w:proofErr w:type="spellEnd"/>
      <w:r>
        <w:rPr>
          <w:rFonts w:ascii="Arial" w:hAnsi="Arial" w:cs="Arial"/>
          <w:sz w:val="20"/>
          <w:szCs w:val="20"/>
        </w:rPr>
        <w:t xml:space="preserve"> договора (контракта) с управляющей организацией о наделении указанной организации полномочиями по заключению в интересах собственников от своего имени или от имени собственников </w:t>
      </w:r>
      <w:proofErr w:type="spellStart"/>
      <w:r>
        <w:rPr>
          <w:rFonts w:ascii="Arial" w:hAnsi="Arial" w:cs="Arial"/>
          <w:sz w:val="20"/>
          <w:szCs w:val="20"/>
        </w:rPr>
        <w:t>энергосервисного</w:t>
      </w:r>
      <w:proofErr w:type="spellEnd"/>
      <w:r>
        <w:rPr>
          <w:rFonts w:ascii="Arial" w:hAnsi="Arial" w:cs="Arial"/>
          <w:sz w:val="20"/>
          <w:szCs w:val="20"/>
        </w:rPr>
        <w:t xml:space="preserve"> договора на общедомовые нужды с организацией, оказывающей </w:t>
      </w:r>
      <w:proofErr w:type="spellStart"/>
      <w:r>
        <w:rPr>
          <w:rFonts w:ascii="Arial" w:hAnsi="Arial" w:cs="Arial"/>
          <w:sz w:val="20"/>
          <w:szCs w:val="20"/>
        </w:rPr>
        <w:t>энергосервисные</w:t>
      </w:r>
      <w:proofErr w:type="spellEnd"/>
      <w:r>
        <w:rPr>
          <w:rFonts w:ascii="Arial" w:hAnsi="Arial" w:cs="Arial"/>
          <w:sz w:val="20"/>
          <w:szCs w:val="20"/>
        </w:rPr>
        <w:t xml:space="preserve"> услуги;</w:t>
      </w:r>
    </w:p>
    <w:p w14:paraId="01D6BE41"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68) Информация о получении собственниками помещений в соответствии с условиями договора управления многоквартирным домом сведений о перечнях, объемах, качестве и периодичности оказанных услуг и (или) выполненных работ;</w:t>
      </w:r>
    </w:p>
    <w:p w14:paraId="264D770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69) Информация о снижении размер платы за содержание и ремонт жилого помещения собственникам помещений с приложением расчета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4DB9F2A"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70) Акт нарушения качества или превышения установленной продолжительности перерыва в оказании услуг или выполнении работ составленный в порядке, установленном </w:t>
      </w:r>
      <w:hyperlink r:id="rId10" w:tooltip="consultantplus://offline/ref=323F5CD871D448A2B5F7F39B94410FD08CAD3322D2CFA55D798FA0A216FF08AA8F4402E734D1A4838CB7649FF3F7F527E5910E1C11508A4DP0m9N" w:history="1">
        <w:r>
          <w:rPr>
            <w:rFonts w:ascii="Arial" w:hAnsi="Arial" w:cs="Arial"/>
            <w:color w:val="0000FF"/>
            <w:sz w:val="20"/>
            <w:szCs w:val="20"/>
          </w:rPr>
          <w:t>Правилами</w:t>
        </w:r>
      </w:hyperlink>
      <w:r>
        <w:rPr>
          <w:rFonts w:ascii="Arial" w:hAnsi="Arial" w:cs="Arial"/>
          <w:sz w:val="20"/>
          <w:szCs w:val="20"/>
        </w:rPr>
        <w:t xml:space="preserve"> N 354;</w:t>
      </w:r>
    </w:p>
    <w:p w14:paraId="7875B60B"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71) Документы, подтверждающие оплату расходов на установку коллективного (общедомового) прибора учета,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 w:tooltip="consultantplus://offline/ref=323F5CD871D448A2B5F7F39B94410FD08BA5312AD4CFA55D798FA0A216FF08AA8F4402E735D0AFD4DCF865C3B5A0E625E4910C1F0DP5m1N" w:history="1">
        <w:r>
          <w:rPr>
            <w:rFonts w:ascii="Arial" w:hAnsi="Arial" w:cs="Arial"/>
            <w:color w:val="0000FF"/>
            <w:sz w:val="20"/>
            <w:szCs w:val="20"/>
          </w:rPr>
          <w:t>частью 12 статьи 13</w:t>
        </w:r>
      </w:hyperlink>
      <w:r>
        <w:rPr>
          <w:rFonts w:ascii="Arial" w:hAnsi="Arial" w:cs="Arial"/>
          <w:sz w:val="20"/>
          <w:szCs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с приложением счетов;</w:t>
      </w:r>
    </w:p>
    <w:p w14:paraId="56D5AF24"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72) Копии лицевых счетов;</w:t>
      </w:r>
    </w:p>
    <w:p w14:paraId="5EACEEB0"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73) Расчет начисления пеней в отношении лиц, не полностью внесших плату за жилое помещение и коммунальные услуги;</w:t>
      </w:r>
    </w:p>
    <w:p w14:paraId="2B4DC46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74) Информация о поступлении в управляющую организацию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при нарушении порядка расчета платы за содержание жилого помещения с приложением копий таких заявлений;</w:t>
      </w:r>
    </w:p>
    <w:p w14:paraId="6173B366"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lastRenderedPageBreak/>
        <w:t>75) Информация о проведении управляющей компанией проверки правильности начисления предъявленного к оплате размера платы за содержание жилого помещения;</w:t>
      </w:r>
    </w:p>
    <w:p w14:paraId="2EB63B0E"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76) Информация о выявлении управляющей компанией при проведении проверки нарушения и о выплате штрафа или об отсутствии нарушения и отказе в выплате штрафа;</w:t>
      </w:r>
    </w:p>
    <w:p w14:paraId="20044A40"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77) Платежные документы по начислению платы за коммунальные услуги, необходимые для определения ограничения размера вносимой гражданами платы за коммунальные услуги;</w:t>
      </w:r>
    </w:p>
    <w:p w14:paraId="5FA13BA3"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78) Протокол общего собрания собственников помещений в многоквартирном доме с приложениями, предусмотренными Требованиями к оформлению протоколов общих собраний собственников помещений в многоквартирных домах,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779B382"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 xml:space="preserve">79) Реестр собственников помещений в многоквартирном доме, предусмотренный </w:t>
      </w:r>
      <w:hyperlink r:id="rId12" w:tooltip="consultantplus://offline/ref=323F5CD871D448A2B5F7F39B94410FD08CAD362AD5C4A55D798FA0A216FF08AA8F4402E03DD7AFD4DCF865C3B5A0E625E4910C1F0DP5m1N" w:history="1">
        <w:r>
          <w:rPr>
            <w:rFonts w:ascii="Arial" w:hAnsi="Arial" w:cs="Arial"/>
            <w:color w:val="0000FF"/>
            <w:sz w:val="20"/>
            <w:szCs w:val="20"/>
          </w:rPr>
          <w:t>ч. 3.1 ст. 45</w:t>
        </w:r>
      </w:hyperlink>
      <w:r>
        <w:rPr>
          <w:rFonts w:ascii="Arial" w:hAnsi="Arial" w:cs="Arial"/>
          <w:sz w:val="20"/>
          <w:szCs w:val="20"/>
        </w:rPr>
        <w:t xml:space="preserve"> ЖК РФ;</w:t>
      </w:r>
    </w:p>
    <w:p w14:paraId="22E84D28"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80) Квалификационный аттестат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в случае его получения на территории иных субъектов Российской Федерации;</w:t>
      </w:r>
    </w:p>
    <w:p w14:paraId="44E4C395"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82) Обращения, заявления, жалобы, уведомления собственников помещений в многоквартирном доме, пользователей помещений в многоквартирном доме, лиц, не являющихся собственниками или пользователями помещений в многоквартирном доме, поступившие в управляющую организацию;</w:t>
      </w:r>
    </w:p>
    <w:p w14:paraId="173012FB"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83) Ответы на обращения, заявления, жалобы, уведомления собственников помещений в многоквартирном доме, пользователей помещений в многоквартирном доме, лиц, не являющихся собственниками или пользователями помещений в многоквартирном доме, поступившие в товарищество собственников жилья, жилищный, жилищно-строительный или иной специализированной потребительский кооператив, управляющую организацию;</w:t>
      </w:r>
    </w:p>
    <w:p w14:paraId="2A54F795"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84) Копия акта приема-передачи технической документации и иных документов, связанных с управлением многоквартирным домом, ключей от помещений, входящих в состав общего имущества собственников помещений в многоквартирном доме, электронных кодов доступа к оборудованию, входящему в состав общего имущества собственников помещений в многоквартирном доме, и иных технических средств, и оборудования, необходимых для эксплуатации многоквартирном доме и управления им;</w:t>
      </w:r>
    </w:p>
    <w:p w14:paraId="18AAE526"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85) Платежные документы, предоставленные собственникам помещений в многоквартирном доме для оплаты обязательных взносов на капитальный ремонт, в случае формирования фонда капитального ремонта многоквартирного дома на специальном счете;</w:t>
      </w:r>
    </w:p>
    <w:p w14:paraId="6F25AA5C"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86) Документы, подтверждающие ведение претензионно-исковой работы с собственниками помещений в многоквартирном доме не исполнивших обязанность по оплате взносов на капитальный ремонт, в случае формирования фонда капитального ремонта многоквартирного дома на специальном счете;</w:t>
      </w:r>
    </w:p>
    <w:p w14:paraId="1305772C"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87) Квалификационный аттестат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в случае его получения на территории иных субъектов Российской Федерации;</w:t>
      </w:r>
    </w:p>
    <w:p w14:paraId="53B98E40" w14:textId="77777777" w:rsidR="00395EB8" w:rsidRDefault="009B37AB">
      <w:pPr>
        <w:spacing w:before="200" w:after="0" w:line="240" w:lineRule="auto"/>
        <w:ind w:firstLine="540"/>
        <w:jc w:val="both"/>
        <w:rPr>
          <w:rFonts w:ascii="Arial" w:hAnsi="Arial" w:cs="Arial"/>
          <w:sz w:val="20"/>
          <w:szCs w:val="20"/>
        </w:rPr>
      </w:pPr>
      <w:r>
        <w:rPr>
          <w:rFonts w:ascii="Arial" w:hAnsi="Arial" w:cs="Arial"/>
          <w:sz w:val="20"/>
          <w:szCs w:val="20"/>
        </w:rPr>
        <w:t>88) Информация по вопросу размещения сведений в государственной информационной системе жилищно-коммунального хозяйства;</w:t>
      </w:r>
    </w:p>
    <w:p w14:paraId="27A5700F" w14:textId="1F85CD1E" w:rsidR="00DF029D" w:rsidRPr="00DF029D" w:rsidRDefault="00DF029D" w:rsidP="00DF029D">
      <w:pPr>
        <w:spacing w:before="200" w:after="0" w:line="240" w:lineRule="auto"/>
        <w:ind w:firstLine="540"/>
        <w:jc w:val="both"/>
        <w:rPr>
          <w:rFonts w:ascii="Arial" w:hAnsi="Arial" w:cs="Arial"/>
          <w:sz w:val="20"/>
          <w:szCs w:val="20"/>
        </w:rPr>
      </w:pPr>
      <w:r>
        <w:rPr>
          <w:rFonts w:ascii="Arial" w:hAnsi="Arial" w:cs="Arial"/>
          <w:sz w:val="20"/>
          <w:szCs w:val="20"/>
        </w:rPr>
        <w:t xml:space="preserve">89) </w:t>
      </w:r>
      <w:r w:rsidRPr="00DF029D">
        <w:rPr>
          <w:rFonts w:ascii="Arial" w:hAnsi="Arial" w:cs="Arial"/>
          <w:sz w:val="20"/>
          <w:szCs w:val="20"/>
        </w:rPr>
        <w:t xml:space="preserve">Расчет перерасчета размера расходов на оплату коммунальных </w:t>
      </w:r>
      <w:r w:rsidRPr="00DF029D">
        <w:rPr>
          <w:rFonts w:ascii="Arial" w:hAnsi="Arial" w:cs="Arial"/>
          <w:sz w:val="20"/>
          <w:szCs w:val="20"/>
        </w:rPr>
        <w:t>ресурсов, потребляемых</w:t>
      </w:r>
      <w:r w:rsidRPr="00DF029D">
        <w:rPr>
          <w:rFonts w:ascii="Arial" w:hAnsi="Arial" w:cs="Arial"/>
          <w:sz w:val="20"/>
          <w:szCs w:val="20"/>
        </w:rPr>
        <w:t xml:space="preserve"> при использовании и содержании общего имущества, с приложением пояснительной записки и документов, подтверждающих указанный расчет</w:t>
      </w:r>
      <w:r>
        <w:rPr>
          <w:rFonts w:ascii="Arial" w:hAnsi="Arial" w:cs="Arial"/>
          <w:sz w:val="20"/>
          <w:szCs w:val="20"/>
        </w:rPr>
        <w:t>;</w:t>
      </w:r>
    </w:p>
    <w:p w14:paraId="10C8C35F" w14:textId="77777777" w:rsidR="00DF029D" w:rsidRPr="00DF029D" w:rsidRDefault="00DF029D" w:rsidP="00DF029D">
      <w:pPr>
        <w:spacing w:before="200" w:after="0" w:line="240" w:lineRule="auto"/>
        <w:ind w:firstLine="540"/>
        <w:jc w:val="both"/>
        <w:rPr>
          <w:rFonts w:ascii="Arial" w:hAnsi="Arial" w:cs="Arial"/>
          <w:sz w:val="20"/>
          <w:szCs w:val="20"/>
        </w:rPr>
      </w:pPr>
      <w:r w:rsidRPr="00DF029D">
        <w:rPr>
          <w:rFonts w:ascii="Arial" w:hAnsi="Arial" w:cs="Arial"/>
          <w:sz w:val="20"/>
          <w:szCs w:val="20"/>
        </w:rPr>
        <w:t xml:space="preserve"> </w:t>
      </w:r>
    </w:p>
    <w:p w14:paraId="10932118" w14:textId="231009FF" w:rsidR="00395EB8" w:rsidRDefault="00DF029D" w:rsidP="00DF029D">
      <w:pPr>
        <w:spacing w:before="200" w:after="0" w:line="240" w:lineRule="auto"/>
        <w:ind w:firstLine="540"/>
        <w:jc w:val="both"/>
        <w:rPr>
          <w:rFonts w:ascii="Arial" w:hAnsi="Arial" w:cs="Arial"/>
          <w:sz w:val="20"/>
          <w:szCs w:val="20"/>
        </w:rPr>
      </w:pPr>
      <w:r>
        <w:rPr>
          <w:rFonts w:ascii="Arial" w:hAnsi="Arial" w:cs="Arial"/>
          <w:sz w:val="20"/>
          <w:szCs w:val="20"/>
        </w:rPr>
        <w:lastRenderedPageBreak/>
        <w:t>90)</w:t>
      </w:r>
      <w:r w:rsidRPr="00DF029D">
        <w:rPr>
          <w:rFonts w:ascii="Arial" w:hAnsi="Arial" w:cs="Arial"/>
          <w:sz w:val="20"/>
          <w:szCs w:val="20"/>
        </w:rPr>
        <w:t xml:space="preserve"> Информацию об оснащении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w:t>
      </w:r>
      <w:r>
        <w:rPr>
          <w:rFonts w:ascii="Arial" w:hAnsi="Arial" w:cs="Arial"/>
          <w:sz w:val="20"/>
          <w:szCs w:val="20"/>
        </w:rPr>
        <w:t xml:space="preserve">. </w:t>
      </w:r>
    </w:p>
    <w:sectPr w:rsidR="00395EB8">
      <w:pgSz w:w="11906" w:h="16838"/>
      <w:pgMar w:top="1440" w:right="566" w:bottom="800" w:left="113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D19FB" w14:textId="77777777" w:rsidR="00C02C15" w:rsidRDefault="009B37AB">
      <w:pPr>
        <w:spacing w:after="0" w:line="240" w:lineRule="auto"/>
      </w:pPr>
      <w:r>
        <w:separator/>
      </w:r>
    </w:p>
  </w:endnote>
  <w:endnote w:type="continuationSeparator" w:id="0">
    <w:p w14:paraId="6A7C138A" w14:textId="77777777" w:rsidR="00C02C15" w:rsidRDefault="009B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94226" w14:textId="77777777" w:rsidR="00395EB8" w:rsidRDefault="009B37AB">
      <w:pPr>
        <w:spacing w:after="0" w:line="240" w:lineRule="auto"/>
      </w:pPr>
      <w:r>
        <w:separator/>
      </w:r>
    </w:p>
  </w:footnote>
  <w:footnote w:type="continuationSeparator" w:id="0">
    <w:p w14:paraId="6AFC0D68" w14:textId="77777777" w:rsidR="00395EB8" w:rsidRDefault="009B3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B8"/>
    <w:rsid w:val="00395EB8"/>
    <w:rsid w:val="009B37AB"/>
    <w:rsid w:val="00C02C15"/>
    <w:rsid w:val="00DF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46D1"/>
  <w15:docId w15:val="{CF9B2B6E-7449-41CB-9805-A8CDDCFC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auto"/>
      </w:tcPr>
    </w:tblStylePr>
    <w:tblStylePr w:type="lastRow">
      <w:rPr>
        <w:i/>
        <w:color w:val="404040"/>
      </w:rPr>
      <w:tblPr/>
      <w:tcPr>
        <w:tcBorders>
          <w:top w:val="single" w:sz="4" w:space="0" w:color="404040"/>
          <w:left w:val="none" w:sz="4" w:space="0" w:color="000000"/>
          <w:right w:val="none" w:sz="4" w:space="0" w:color="00000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auto"/>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F5CD871D448A2B5F7F39B94410FD08CAD3322D2CFA55D798FA0A216FF08AA8F4402E734D1A4838CB7649FF3F7F527E5910E1C11508A4DP0m9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23F5CD871D448A2B5F7F39B94410FD08CAD3322D2CFA55D798FA0A216FF08AA8F4402E734D1A4838CB7649FF3F7F527E5910E1C11508A4DP0m9N" TargetMode="External"/><Relationship Id="rId12" Type="http://schemas.openxmlformats.org/officeDocument/2006/relationships/hyperlink" Target="consultantplus://offline/ref=323F5CD871D448A2B5F7F39B94410FD08CAD362AD5C4A55D798FA0A216FF08AA8F4402E03DD7AFD4DCF865C3B5A0E625E4910C1F0DP5m1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23F5CD871D448A2B5F7F39B94410FD08CAD3322D2CFA55D798FA0A216FF08AA8F4402E734D1A4838CB7649FF3F7F527E5910E1C11508A4DP0m9N" TargetMode="External"/><Relationship Id="rId11" Type="http://schemas.openxmlformats.org/officeDocument/2006/relationships/hyperlink" Target="consultantplus://offline/ref=323F5CD871D448A2B5F7F39B94410FD08BA5312AD4CFA55D798FA0A216FF08AA8F4402E735D0AFD4DCF865C3B5A0E625E4910C1F0DP5m1N" TargetMode="External"/><Relationship Id="rId5" Type="http://schemas.openxmlformats.org/officeDocument/2006/relationships/endnotes" Target="endnotes.xml"/><Relationship Id="rId10" Type="http://schemas.openxmlformats.org/officeDocument/2006/relationships/hyperlink" Target="consultantplus://offline/ref=323F5CD871D448A2B5F7F39B94410FD08CAD3322D2CFA55D798FA0A216FF08AA8F4402E734D1A4838CB7649FF3F7F527E5910E1C11508A4DP0m9N" TargetMode="External"/><Relationship Id="rId4" Type="http://schemas.openxmlformats.org/officeDocument/2006/relationships/footnotes" Target="footnotes.xml"/><Relationship Id="rId9" Type="http://schemas.openxmlformats.org/officeDocument/2006/relationships/hyperlink" Target="consultantplus://offline/ref=323F5CD871D448A2B5F7F39B94410FD08CAD3322D2CFA55D798FA0A216FF08AA8F4402E734D1A4838CB7649FF3F7F527E5910E1C11508A4DP0m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3061</Words>
  <Characters>17451</Characters>
  <Application>Microsoft Office Word</Application>
  <DocSecurity>0</DocSecurity>
  <Lines>145</Lines>
  <Paragraphs>40</Paragraphs>
  <ScaleCrop>false</ScaleCrop>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2023-06-09T06:55:00Z</dcterms:created>
  <dcterms:modified xsi:type="dcterms:W3CDTF">2023-06-09T06:55:00Z</dcterms:modified>
</cp:coreProperties>
</file>