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16ED43E4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EE000A">
        <w:rPr>
          <w:szCs w:val="24"/>
          <w:u w:val="single"/>
        </w:rPr>
        <w:t>постановления</w:t>
      </w:r>
      <w:r w:rsidR="00BF0D0C" w:rsidRPr="00BB1D08">
        <w:rPr>
          <w:szCs w:val="24"/>
          <w:u w:val="single"/>
        </w:rPr>
        <w:t xml:space="preserve"> Пензенской области «</w:t>
      </w:r>
      <w:r w:rsidR="00685774">
        <w:rPr>
          <w:szCs w:val="24"/>
          <w:u w:val="single"/>
        </w:rPr>
        <w:t>О внесении изменений в постановление Правительства Пензенской области от 30.05.2025 № 516-пП</w:t>
      </w:r>
      <w:bookmarkStart w:id="0" w:name="_GoBack"/>
      <w:bookmarkEnd w:id="0"/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066472A6" w:rsidR="00CB685D" w:rsidRPr="009815CE" w:rsidRDefault="00CB685D" w:rsidP="009815C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 w:rsidR="009815CE">
        <w:rPr>
          <w:rFonts w:eastAsiaTheme="minorHAnsi"/>
          <w:bCs/>
          <w:sz w:val="24"/>
          <w:szCs w:val="24"/>
          <w:lang w:eastAsia="en-US"/>
        </w:rPr>
        <w:t>К каким последствиям для субъектов предпринимательской и иной экономической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4B73B5"/>
    <w:rsid w:val="00685774"/>
    <w:rsid w:val="007A0BB5"/>
    <w:rsid w:val="009815CE"/>
    <w:rsid w:val="00BB1D08"/>
    <w:rsid w:val="00BF0D0C"/>
    <w:rsid w:val="00CB685D"/>
    <w:rsid w:val="00E0470C"/>
    <w:rsid w:val="00E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2022-06-24T15:12:00Z</cp:lastPrinted>
  <dcterms:created xsi:type="dcterms:W3CDTF">2021-12-13T07:51:00Z</dcterms:created>
  <dcterms:modified xsi:type="dcterms:W3CDTF">2025-06-03T12:04:00Z</dcterms:modified>
</cp:coreProperties>
</file>