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A8" w:rsidRDefault="00236CA8" w:rsidP="007A2605">
      <w:pPr>
        <w:spacing w:after="0" w:line="264" w:lineRule="auto"/>
        <w:ind w:left="14" w:right="43" w:firstLine="720"/>
        <w:rPr>
          <w:szCs w:val="28"/>
        </w:rPr>
      </w:pPr>
      <w:bookmarkStart w:id="0" w:name="_GoBack"/>
      <w:bookmarkEnd w:id="0"/>
    </w:p>
    <w:p w:rsidR="00236CA8" w:rsidRDefault="00236CA8" w:rsidP="007A2605">
      <w:pPr>
        <w:spacing w:after="0" w:line="264" w:lineRule="auto"/>
        <w:ind w:left="14" w:right="43" w:firstLine="720"/>
        <w:rPr>
          <w:szCs w:val="28"/>
        </w:rPr>
      </w:pPr>
    </w:p>
    <w:p w:rsidR="00236CA8" w:rsidRDefault="00236CA8" w:rsidP="00236CA8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236CA8" w:rsidRPr="00236CA8" w:rsidRDefault="00236CA8" w:rsidP="00236CA8">
      <w:pPr>
        <w:spacing w:after="0" w:line="264" w:lineRule="auto"/>
        <w:ind w:left="14" w:right="43" w:firstLine="720"/>
        <w:jc w:val="center"/>
        <w:rPr>
          <w:b/>
          <w:szCs w:val="28"/>
        </w:rPr>
      </w:pPr>
      <w:r>
        <w:rPr>
          <w:b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деятельности: </w:t>
      </w:r>
      <w:r w:rsidRPr="00236CA8">
        <w:rPr>
          <w:b/>
          <w:szCs w:val="28"/>
        </w:rPr>
        <w:t>«Регулирование финансовой деятельности и финансовых рынков».</w:t>
      </w:r>
    </w:p>
    <w:p w:rsidR="00236CA8" w:rsidRPr="00236CA8" w:rsidRDefault="00236CA8" w:rsidP="00236CA8">
      <w:pPr>
        <w:spacing w:after="0" w:line="264" w:lineRule="auto"/>
        <w:ind w:left="14" w:right="43" w:firstLine="720"/>
        <w:jc w:val="center"/>
        <w:rPr>
          <w:b/>
          <w:szCs w:val="28"/>
        </w:rPr>
      </w:pPr>
      <w:r>
        <w:rPr>
          <w:b/>
          <w:szCs w:val="28"/>
        </w:rPr>
        <w:t xml:space="preserve">Виды профессиональной служебной деятельности главного специалиста- эксперта отдела: </w:t>
      </w:r>
      <w:r w:rsidRPr="00236CA8">
        <w:rPr>
          <w:b/>
          <w:szCs w:val="28"/>
        </w:rPr>
        <w:t>«Регулирование в сфере бухгалтерского учета и финансовой отчетности», «Регулирование в сфере внутреннего финансового контроля и внутреннего финансового аудита».</w:t>
      </w:r>
    </w:p>
    <w:p w:rsidR="00236CA8" w:rsidRDefault="00236CA8" w:rsidP="006F56EA">
      <w:pPr>
        <w:spacing w:after="0" w:line="247" w:lineRule="auto"/>
        <w:ind w:left="596" w:right="-125" w:hanging="10"/>
        <w:jc w:val="center"/>
        <w:rPr>
          <w:b/>
          <w:szCs w:val="28"/>
        </w:rPr>
      </w:pPr>
    </w:p>
    <w:p w:rsidR="006F56EA" w:rsidRDefault="006F56EA" w:rsidP="006F56EA">
      <w:pPr>
        <w:spacing w:after="0" w:line="247" w:lineRule="auto"/>
        <w:ind w:left="596" w:right="-125" w:hanging="10"/>
        <w:jc w:val="center"/>
        <w:rPr>
          <w:b/>
          <w:szCs w:val="28"/>
        </w:rPr>
      </w:pPr>
      <w:r>
        <w:rPr>
          <w:b/>
          <w:szCs w:val="28"/>
        </w:rPr>
        <w:t>2. Квалификационные требования</w:t>
      </w:r>
    </w:p>
    <w:p w:rsidR="006F56EA" w:rsidRDefault="006F56EA" w:rsidP="006F56EA">
      <w:pPr>
        <w:spacing w:after="0"/>
        <w:ind w:left="100" w:right="14"/>
        <w:rPr>
          <w:szCs w:val="28"/>
        </w:rPr>
      </w:pPr>
      <w:r>
        <w:rPr>
          <w:szCs w:val="28"/>
        </w:rPr>
        <w:t>Для замещения должности главного специалиста-эксперта 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6F56EA" w:rsidRDefault="006F56EA" w:rsidP="006F56EA">
      <w:pPr>
        <w:spacing w:after="0"/>
        <w:ind w:left="2640" w:right="0" w:hanging="10"/>
        <w:jc w:val="left"/>
        <w:rPr>
          <w:b/>
          <w:szCs w:val="28"/>
        </w:rPr>
      </w:pPr>
      <w:r>
        <w:rPr>
          <w:b/>
          <w:szCs w:val="28"/>
        </w:rPr>
        <w:t>2.1. Базовые квалификационные требования</w:t>
      </w:r>
    </w:p>
    <w:p w:rsidR="006F56EA" w:rsidRDefault="006F56EA" w:rsidP="006F56EA">
      <w:pPr>
        <w:spacing w:after="0"/>
        <w:ind w:left="0" w:right="14" w:firstLine="709"/>
        <w:rPr>
          <w:szCs w:val="28"/>
        </w:rPr>
      </w:pPr>
      <w:r>
        <w:rPr>
          <w:szCs w:val="28"/>
        </w:rPr>
        <w:t xml:space="preserve">2.1.1. 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 - </w:t>
      </w:r>
      <w:proofErr w:type="spellStart"/>
      <w:r>
        <w:rPr>
          <w:szCs w:val="28"/>
        </w:rPr>
        <w:t>специалитет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бакалавриат</w:t>
      </w:r>
      <w:proofErr w:type="spellEnd"/>
      <w:r>
        <w:rPr>
          <w:szCs w:val="28"/>
        </w:rPr>
        <w:t>.</w:t>
      </w:r>
    </w:p>
    <w:p w:rsidR="006F56EA" w:rsidRDefault="006F56EA" w:rsidP="006F56EA">
      <w:pPr>
        <w:spacing w:after="0"/>
        <w:ind w:left="100" w:right="14"/>
        <w:rPr>
          <w:szCs w:val="28"/>
        </w:rPr>
      </w:pPr>
      <w:r>
        <w:rPr>
          <w:szCs w:val="28"/>
        </w:rPr>
        <w:t>2.12.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требования к стажу не предъявляются.</w:t>
      </w:r>
    </w:p>
    <w:p w:rsidR="006F56EA" w:rsidRDefault="006F56EA" w:rsidP="006F56EA">
      <w:pPr>
        <w:spacing w:after="0"/>
        <w:ind w:left="100" w:right="14"/>
        <w:rPr>
          <w:szCs w:val="28"/>
        </w:rPr>
      </w:pPr>
      <w:r>
        <w:rPr>
          <w:szCs w:val="28"/>
        </w:rPr>
        <w:t>2.1.3. Гражданский служащий, замещающий должность главного специалиста-эксперта, должен обладать следующими базовыми знаниями и умениями:</w:t>
      </w:r>
    </w:p>
    <w:p w:rsidR="006F56EA" w:rsidRDefault="006F56EA" w:rsidP="006F56EA">
      <w:pPr>
        <w:spacing w:after="0"/>
        <w:ind w:left="749" w:right="14" w:firstLine="29"/>
        <w:rPr>
          <w:szCs w:val="28"/>
        </w:rPr>
      </w:pPr>
      <w:r>
        <w:rPr>
          <w:szCs w:val="28"/>
        </w:rPr>
        <w:t xml:space="preserve">1) знанием государственного языка Российской Федерации (русского языка); </w:t>
      </w:r>
    </w:p>
    <w:p w:rsidR="006F56EA" w:rsidRDefault="006F56EA" w:rsidP="006F56EA">
      <w:pPr>
        <w:spacing w:after="0"/>
        <w:ind w:left="749" w:right="14" w:firstLine="29"/>
        <w:rPr>
          <w:szCs w:val="28"/>
        </w:rPr>
      </w:pPr>
      <w:r>
        <w:rPr>
          <w:szCs w:val="28"/>
        </w:rPr>
        <w:t>2) знаниями основ:</w:t>
      </w:r>
    </w:p>
    <w:p w:rsidR="006F56EA" w:rsidRDefault="006F56EA" w:rsidP="006F56EA">
      <w:pPr>
        <w:spacing w:after="0"/>
        <w:ind w:left="749" w:right="14" w:firstLine="0"/>
        <w:rPr>
          <w:szCs w:val="28"/>
        </w:rPr>
      </w:pPr>
      <w:r>
        <w:rPr>
          <w:szCs w:val="28"/>
        </w:rPr>
        <w:t>а) Конституции Российской Федерации,</w:t>
      </w:r>
    </w:p>
    <w:p w:rsidR="006F56EA" w:rsidRDefault="006F56EA" w:rsidP="006F56EA">
      <w:pPr>
        <w:spacing w:after="0"/>
        <w:ind w:left="100" w:right="14"/>
        <w:rPr>
          <w:szCs w:val="28"/>
        </w:rPr>
      </w:pPr>
      <w:r>
        <w:rPr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6F56EA" w:rsidRDefault="006F56EA" w:rsidP="006F56EA">
      <w:pPr>
        <w:spacing w:after="0"/>
        <w:ind w:left="100" w:right="14"/>
        <w:rPr>
          <w:szCs w:val="28"/>
        </w:rPr>
      </w:pPr>
      <w:r>
        <w:rPr>
          <w:szCs w:val="28"/>
        </w:rPr>
        <w:t>в) Федерального закона от 27.07.2004 № 79-ФЗ «О государственной гражданской службе Российской Федерации»;</w:t>
      </w:r>
    </w:p>
    <w:p w:rsidR="006F56EA" w:rsidRDefault="006F56EA" w:rsidP="006F56EA">
      <w:pPr>
        <w:spacing w:after="0"/>
        <w:ind w:left="100" w:right="14"/>
        <w:rPr>
          <w:szCs w:val="28"/>
        </w:rPr>
      </w:pPr>
      <w:r>
        <w:rPr>
          <w:szCs w:val="28"/>
        </w:rPr>
        <w:t>г) Федерального закона от 25.12.2008 № 273-ФЗ «О противодействии коррупции»;</w:t>
      </w:r>
    </w:p>
    <w:p w:rsidR="006F56EA" w:rsidRDefault="006F56EA" w:rsidP="006F56EA">
      <w:pPr>
        <w:spacing w:after="0"/>
        <w:ind w:left="38" w:right="14"/>
        <w:rPr>
          <w:szCs w:val="28"/>
        </w:rPr>
      </w:pPr>
      <w:r>
        <w:rPr>
          <w:szCs w:val="28"/>
        </w:rPr>
        <w:lastRenderedPageBreak/>
        <w:t>3) знаниями и умения в области информационно-коммуникационных технологий.</w:t>
      </w:r>
    </w:p>
    <w:p w:rsidR="006F56EA" w:rsidRDefault="006F56EA" w:rsidP="006F56EA">
      <w:pPr>
        <w:spacing w:after="0"/>
        <w:ind w:left="38" w:right="14"/>
        <w:rPr>
          <w:szCs w:val="28"/>
        </w:rPr>
      </w:pPr>
      <w:r>
        <w:rPr>
          <w:szCs w:val="28"/>
        </w:rPr>
        <w:t xml:space="preserve">2.1.4. Умения гражданского служащего, замещающего </w:t>
      </w:r>
      <w:proofErr w:type="gramStart"/>
      <w:r>
        <w:rPr>
          <w:szCs w:val="28"/>
        </w:rPr>
        <w:t>должность главного специалиста-эксперта</w:t>
      </w:r>
      <w:proofErr w:type="gramEnd"/>
      <w:r>
        <w:rPr>
          <w:szCs w:val="28"/>
        </w:rPr>
        <w:t xml:space="preserve"> включают следующие умения:</w:t>
      </w:r>
    </w:p>
    <w:p w:rsidR="006F56EA" w:rsidRDefault="006F56EA" w:rsidP="006F56EA">
      <w:pPr>
        <w:spacing w:after="0"/>
        <w:ind w:left="739" w:right="14" w:firstLine="0"/>
        <w:rPr>
          <w:szCs w:val="28"/>
        </w:rPr>
      </w:pPr>
      <w:r>
        <w:rPr>
          <w:szCs w:val="28"/>
        </w:rPr>
        <w:t>Общие умения:</w:t>
      </w:r>
    </w:p>
    <w:p w:rsidR="006F56EA" w:rsidRDefault="006F56EA" w:rsidP="006F56EA">
      <w:pPr>
        <w:numPr>
          <w:ilvl w:val="0"/>
          <w:numId w:val="1"/>
        </w:numPr>
        <w:spacing w:after="0" w:line="261" w:lineRule="auto"/>
        <w:ind w:right="14" w:firstLine="700"/>
        <w:rPr>
          <w:szCs w:val="28"/>
        </w:rPr>
      </w:pPr>
      <w:r>
        <w:rPr>
          <w:szCs w:val="28"/>
        </w:rPr>
        <w:t xml:space="preserve">умение мыслить системно (стратегически); </w:t>
      </w:r>
    </w:p>
    <w:p w:rsidR="006F56EA" w:rsidRDefault="006F56EA" w:rsidP="006F56EA">
      <w:pPr>
        <w:spacing w:after="0" w:line="261" w:lineRule="auto"/>
        <w:ind w:left="800" w:right="14" w:firstLine="0"/>
        <w:rPr>
          <w:szCs w:val="28"/>
        </w:rPr>
      </w:pPr>
      <w:r>
        <w:rPr>
          <w:szCs w:val="28"/>
        </w:rPr>
        <w:t>-      умение планировать, рационально использовать служебное время и достигать результата;</w:t>
      </w:r>
    </w:p>
    <w:p w:rsidR="006F56EA" w:rsidRDefault="006F56EA" w:rsidP="006F56EA">
      <w:pPr>
        <w:numPr>
          <w:ilvl w:val="0"/>
          <w:numId w:val="1"/>
        </w:numPr>
        <w:spacing w:after="0"/>
        <w:ind w:right="14" w:firstLine="700"/>
        <w:rPr>
          <w:szCs w:val="28"/>
        </w:rPr>
      </w:pPr>
      <w:r>
        <w:rPr>
          <w:szCs w:val="28"/>
        </w:rPr>
        <w:t>коммуникативные умения;</w:t>
      </w:r>
    </w:p>
    <w:p w:rsidR="006F56EA" w:rsidRDefault="006F56EA" w:rsidP="006F56EA">
      <w:pPr>
        <w:numPr>
          <w:ilvl w:val="0"/>
          <w:numId w:val="1"/>
        </w:numPr>
        <w:spacing w:after="0"/>
        <w:ind w:right="14" w:firstLine="700"/>
        <w:rPr>
          <w:szCs w:val="28"/>
        </w:rPr>
      </w:pPr>
      <w:r>
        <w:rPr>
          <w:szCs w:val="28"/>
        </w:rPr>
        <w:t>умение управлять изменениями.</w:t>
      </w:r>
    </w:p>
    <w:p w:rsidR="006F56EA" w:rsidRDefault="006F56EA" w:rsidP="006F56EA">
      <w:pPr>
        <w:spacing w:after="0"/>
        <w:ind w:left="19" w:right="0" w:firstLine="701"/>
        <w:jc w:val="center"/>
        <w:rPr>
          <w:b/>
          <w:szCs w:val="28"/>
        </w:rPr>
      </w:pPr>
      <w:r>
        <w:rPr>
          <w:b/>
          <w:szCs w:val="28"/>
        </w:rPr>
        <w:t>2.2. Профессионально-функциональные квалификационные требования</w:t>
      </w:r>
    </w:p>
    <w:p w:rsidR="006F56EA" w:rsidRDefault="006F56EA" w:rsidP="006F56EA">
      <w:pPr>
        <w:spacing w:after="0" w:line="254" w:lineRule="auto"/>
        <w:ind w:left="14" w:right="14"/>
        <w:rPr>
          <w:szCs w:val="28"/>
        </w:rPr>
      </w:pPr>
      <w:r>
        <w:rPr>
          <w:szCs w:val="28"/>
        </w:rPr>
        <w:t>2.2.1. Гражданский служащий, замещающий должность главного специалиста-эксперта,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направления подготовки «Экономика», «Экономика и управление</w:t>
      </w:r>
      <w:proofErr w:type="gramStart"/>
      <w:r>
        <w:rPr>
          <w:szCs w:val="28"/>
        </w:rPr>
        <w:t>»,  «</w:t>
      </w:r>
      <w:proofErr w:type="gramEnd"/>
      <w:r>
        <w:rPr>
          <w:szCs w:val="28"/>
        </w:rPr>
        <w:t xml:space="preserve">Финансы и кредит», «Государственный аудит», «Государственное и муниципальное управление». 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специальность «Экономическая безопасность».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 xml:space="preserve"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 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7150" cy="28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6F56EA" w:rsidRDefault="006F56EA" w:rsidP="006F56EA">
      <w:pPr>
        <w:spacing w:after="0" w:line="254" w:lineRule="auto"/>
        <w:ind w:left="14" w:right="14"/>
        <w:rPr>
          <w:szCs w:val="28"/>
        </w:rPr>
      </w:pPr>
      <w:r>
        <w:rPr>
          <w:szCs w:val="28"/>
        </w:rPr>
        <w:t>2.2.2. Гражданский служащий, замещающий должность главного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6F56EA" w:rsidRDefault="006F56EA" w:rsidP="006F56EA">
      <w:pPr>
        <w:spacing w:after="0" w:line="254" w:lineRule="auto"/>
        <w:ind w:left="14" w:right="14"/>
        <w:rPr>
          <w:szCs w:val="28"/>
        </w:rPr>
      </w:pPr>
      <w:r>
        <w:rPr>
          <w:szCs w:val="28"/>
        </w:rPr>
        <w:t>По области профессиональной служебной деятельности «Регулирование финансовой деятельности и финансовых рынков», видам профессиональной служебной деятельности «Регулирование в сфере бухгалтерского учета и финансовой отчетности», «Регулирование в сфере внутреннего финансового контроля и внутреннего финансового аудита»: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Бюджетный кодекс Российской Федерации;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lastRenderedPageBreak/>
        <w:t>Налоговый кодекс Российской Федерации;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Федеральный закон от 06.12.2011 № 402-ФЗ «О бухгалтерском учете».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Кодекс Российской Федерации об административных правонарушениях;</w:t>
      </w:r>
    </w:p>
    <w:p w:rsidR="006F56EA" w:rsidRDefault="006F56EA" w:rsidP="006F56EA">
      <w:pPr>
        <w:spacing w:after="0" w:line="240" w:lineRule="auto"/>
        <w:ind w:left="106" w:right="14"/>
        <w:rPr>
          <w:szCs w:val="28"/>
        </w:rPr>
      </w:pPr>
      <w:r>
        <w:rPr>
          <w:noProof/>
          <w:szCs w:val="28"/>
        </w:rPr>
        <w:t xml:space="preserve">- </w:t>
      </w:r>
      <w:r>
        <w:rPr>
          <w:szCs w:val="28"/>
        </w:rPr>
        <w:t xml:space="preserve"> Федеральный закон от 12.01.1996 № 7-ФЗ «О некоммерческих организациях»;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Федеральный закон от 24.07.2009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Федеральный закон от 29.11.2010 № 326-ФЗ «Об обязательном медицинском страховании в Российской Федерации»;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Приказ Минфина России от 06.12.2010 № 162н «Об утверждении Плана счетов бюджетного учета и Инструкции по его применению»;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Приказ Минфина РФ от 23.12.2010 № 183н «Об утверждении Плана счетов бухгалтерского учета автономных учреждений и Инструкции по его применению»;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Приказ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Приказ Минфина России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:rsidR="006F56EA" w:rsidRDefault="006F56EA" w:rsidP="006F56EA">
      <w:pPr>
        <w:spacing w:after="0" w:line="240" w:lineRule="auto"/>
        <w:ind w:left="33" w:right="14"/>
        <w:rPr>
          <w:szCs w:val="28"/>
        </w:rPr>
      </w:pPr>
      <w:r>
        <w:rPr>
          <w:noProof/>
          <w:szCs w:val="28"/>
        </w:rPr>
        <w:t xml:space="preserve">- </w:t>
      </w:r>
      <w:r>
        <w:rPr>
          <w:szCs w:val="28"/>
        </w:rPr>
        <w:t>Приказ Минфина России от 04.12.2014 № 143н «Об утверждении форм отчетов о расходах и численности работников федеральных государственных органов, государственных органов субъектов Российской Федерации, органов местного самоуправления, избирательных комиссий муниципальных образований, а также Инструкции о порядке их составления и представления»;</w:t>
      </w:r>
    </w:p>
    <w:p w:rsidR="006F56EA" w:rsidRDefault="006F56EA" w:rsidP="006F56EA">
      <w:pPr>
        <w:spacing w:after="0" w:line="240" w:lineRule="auto"/>
        <w:ind w:left="33" w:right="14"/>
        <w:rPr>
          <w:szCs w:val="28"/>
        </w:rPr>
      </w:pPr>
      <w:r>
        <w:rPr>
          <w:noProof/>
          <w:szCs w:val="28"/>
        </w:rPr>
        <w:t>-</w:t>
      </w:r>
      <w:r>
        <w:rPr>
          <w:szCs w:val="28"/>
        </w:rPr>
        <w:t xml:space="preserve"> 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6F56EA" w:rsidRDefault="006F56EA" w:rsidP="006F56EA">
      <w:pPr>
        <w:spacing w:after="0" w:line="240" w:lineRule="auto"/>
        <w:ind w:left="33" w:right="14"/>
        <w:rPr>
          <w:szCs w:val="28"/>
        </w:rPr>
      </w:pPr>
      <w:r>
        <w:rPr>
          <w:noProof/>
          <w:szCs w:val="28"/>
        </w:rPr>
        <w:lastRenderedPageBreak/>
        <w:t>-</w:t>
      </w:r>
      <w:r>
        <w:rPr>
          <w:szCs w:val="28"/>
        </w:rPr>
        <w:t xml:space="preserve"> Приказ Минфина РФ от 13.06.1995 № 49 «Об утверждении Методических указаний по инвентаризации имущества и финансовых обязательств.</w:t>
      </w:r>
    </w:p>
    <w:p w:rsidR="006F56EA" w:rsidRDefault="006F56EA" w:rsidP="006F56EA">
      <w:pPr>
        <w:spacing w:after="0" w:line="240" w:lineRule="auto"/>
        <w:ind w:left="33" w:right="14"/>
        <w:rPr>
          <w:szCs w:val="28"/>
        </w:rPr>
      </w:pPr>
      <w:r>
        <w:rPr>
          <w:szCs w:val="28"/>
        </w:rPr>
        <w:t>-  Федеральные стандарты бухгалтерского учета.</w:t>
      </w:r>
    </w:p>
    <w:p w:rsidR="006F56EA" w:rsidRDefault="006F56EA" w:rsidP="006F56EA">
      <w:pPr>
        <w:spacing w:after="0" w:line="254" w:lineRule="auto"/>
        <w:ind w:left="14" w:right="14"/>
        <w:rPr>
          <w:szCs w:val="28"/>
        </w:rPr>
      </w:pPr>
      <w:r>
        <w:rPr>
          <w:szCs w:val="28"/>
        </w:rPr>
        <w:t>2.2.3. Гражданский служащий, замещающий должность главного специалиста-эксперта управления, должен обладать следующими иными профессиональными знаниями:</w:t>
      </w:r>
    </w:p>
    <w:p w:rsidR="006F56EA" w:rsidRDefault="006F56EA" w:rsidP="006F56EA">
      <w:pPr>
        <w:spacing w:after="0" w:line="254" w:lineRule="auto"/>
        <w:ind w:left="14" w:right="14" w:firstLine="653"/>
        <w:rPr>
          <w:szCs w:val="28"/>
        </w:rPr>
      </w:pPr>
      <w:r>
        <w:rPr>
          <w:szCs w:val="28"/>
        </w:rPr>
        <w:t>По области профессиональной служебной деятельности «Регулирование финансовой деятельности и финансовых рынков» и видам профессиональной служебной деятельности «Регулирование в сфере бухгалтерского учета и финансовой отчетности», «Регулирование в сфере внутреннего финансового контроля и внутреннего финансового аудита»: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Основы государственной финансово-экономической политики;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Система бюджетирования организации;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Методы бюджетного планирования;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Принципы бюджетного учета и отчетности;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Функции и полномочия учредителя подведомственных организаций;</w:t>
      </w:r>
    </w:p>
    <w:p w:rsidR="006F56EA" w:rsidRDefault="006F56EA" w:rsidP="006F56EA">
      <w:pPr>
        <w:spacing w:after="0" w:line="240" w:lineRule="auto"/>
        <w:ind w:left="106" w:right="14" w:firstLine="0"/>
        <w:rPr>
          <w:szCs w:val="28"/>
        </w:rPr>
      </w:pPr>
      <w:r>
        <w:rPr>
          <w:szCs w:val="28"/>
        </w:rPr>
        <w:t xml:space="preserve">          -       Формы и методы бухгалтерского учета; </w:t>
      </w:r>
    </w:p>
    <w:p w:rsidR="006F56EA" w:rsidRDefault="006F56EA" w:rsidP="006F56EA">
      <w:pPr>
        <w:spacing w:after="0" w:line="240" w:lineRule="auto"/>
        <w:ind w:left="806" w:right="14" w:firstLine="0"/>
        <w:rPr>
          <w:szCs w:val="28"/>
        </w:rPr>
      </w:pPr>
      <w:r>
        <w:rPr>
          <w:szCs w:val="28"/>
        </w:rPr>
        <w:t>-        План и корреспонденция счетов;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Организацию документооборота по участкам бухгалтерского учета;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Система регулирования бухгалтерского учета (принципы, иерархия нормативно правовых актов, субъекты и их функции);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Практика применения законодательства о бухгалтерском учете;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Методы экономического анализа хозяйственно-финансовой деятельности организации;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Налоговый, статистический и управленческий учет;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Формы и порядок финансовых расчетов;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Условия налогообложения юридических и физических лиц;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Правила проведения инвентаризаций денежных средств и товарно-материальных ценностей, расчета с дебиторами и кредиторами, проведения проверок и документальных ревизий;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Порядок и сроки составления бухгалтерских балансов и отчетности;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Правила хранения бухгалтерских документов и защиты информации.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Планирование внутреннего финансового контроля;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t>Проведение внутреннего финансового контроля;</w:t>
      </w:r>
    </w:p>
    <w:p w:rsidR="006F56EA" w:rsidRDefault="006F56EA" w:rsidP="006F56EA">
      <w:pPr>
        <w:numPr>
          <w:ilvl w:val="0"/>
          <w:numId w:val="3"/>
        </w:numPr>
        <w:spacing w:after="0" w:line="240" w:lineRule="auto"/>
        <w:ind w:right="14" w:firstLine="700"/>
        <w:rPr>
          <w:szCs w:val="28"/>
        </w:rPr>
      </w:pPr>
      <w:r>
        <w:rPr>
          <w:szCs w:val="28"/>
        </w:rPr>
        <w:lastRenderedPageBreak/>
        <w:t>Оформление и рассмотрение результатов внутреннего финансового контроля.</w:t>
      </w:r>
    </w:p>
    <w:p w:rsidR="006F56EA" w:rsidRDefault="006F56EA" w:rsidP="006F56EA">
      <w:pPr>
        <w:spacing w:after="0" w:line="254" w:lineRule="auto"/>
        <w:ind w:left="14" w:right="14"/>
        <w:rPr>
          <w:szCs w:val="28"/>
        </w:rPr>
      </w:pPr>
      <w:r>
        <w:rPr>
          <w:szCs w:val="28"/>
        </w:rPr>
        <w:t>2.2.4. Гражданский служащий, замещающий должность главного специалиста-эксперта, должен обладать следующими профессиональными умениями: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7034530</wp:posOffset>
            </wp:positionH>
            <wp:positionV relativeFrom="page">
              <wp:posOffset>9008745</wp:posOffset>
            </wp:positionV>
            <wp:extent cx="6350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работа в прикладных программных продуктах по управлению финансово-бухгалтерской отчетностью. Осуществление начислений, учет, контроль за правильностью исчисления, полнотой и своевременностью осуществления платежей в бюджет; 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составление отчетности об исполнении бюджета, включая кассовое исполнение бюджета государственного органа, подведомственных учреждений;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сбор и систематизация актуальной информации в сфере бюджетного (бухгалтерского) учета и составления бюджетной (бухгалтерской), налоговой, статистической отчетности;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автоматизированный бухгалтерский учет данных;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внутренний финансовый контроль и внутренний финансовый аудит;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организация внутреннего финансового контроля;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планирование внутреннего финансового контроля;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проведение внутреннего финансового контроля;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оформление и рассмотрение результатов внутреннего финансового контроля;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расчеты по оплате труда.</w:t>
      </w:r>
    </w:p>
    <w:p w:rsidR="006F56EA" w:rsidRDefault="006F56EA" w:rsidP="006F56EA">
      <w:pPr>
        <w:spacing w:after="0" w:line="254" w:lineRule="auto"/>
        <w:ind w:left="720" w:right="14" w:firstLine="0"/>
        <w:rPr>
          <w:szCs w:val="28"/>
        </w:rPr>
      </w:pPr>
      <w:r>
        <w:rPr>
          <w:szCs w:val="28"/>
        </w:rPr>
        <w:t>2.2.5. Гражданский служащий, замещающий должность главного специалиста-эксперта, должен обладать следующими функциональными знаниями: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методы бюджетного планирования;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принципы бюджетного учета и отчетности.</w:t>
      </w:r>
    </w:p>
    <w:p w:rsidR="006F56EA" w:rsidRDefault="006F56EA" w:rsidP="006F56EA">
      <w:pPr>
        <w:spacing w:after="0" w:line="254" w:lineRule="auto"/>
        <w:ind w:left="14" w:right="14"/>
        <w:rPr>
          <w:szCs w:val="28"/>
        </w:rPr>
      </w:pPr>
      <w:r>
        <w:rPr>
          <w:szCs w:val="28"/>
        </w:rPr>
        <w:t>2.2.6. Гражданский служащий, замещающий должность главного специалиста-эксперта, должен обладать следующими функциональными умениями: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подготовка обоснований бюджетных ассигнований на планируемый период для государственного органа;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анализ эффективности и результативности расходования бюджетных средств;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>разработка и формирование проектов прогнозов по организации бюджетного процесса в государственном органе;</w:t>
      </w:r>
    </w:p>
    <w:p w:rsidR="006F56EA" w:rsidRDefault="006F56EA" w:rsidP="006F56EA">
      <w:pPr>
        <w:numPr>
          <w:ilvl w:val="0"/>
          <w:numId w:val="2"/>
        </w:numPr>
        <w:spacing w:after="0" w:line="254" w:lineRule="auto"/>
        <w:ind w:right="14" w:firstLine="700"/>
        <w:rPr>
          <w:szCs w:val="28"/>
        </w:rPr>
      </w:pPr>
      <w:r>
        <w:rPr>
          <w:szCs w:val="28"/>
        </w:rPr>
        <w:t xml:space="preserve">проведение инвентаризации денежных средств, товарно-материальных ценностей, расчетов с поставщиками и подрядчиками; </w:t>
      </w:r>
      <w:r>
        <w:rPr>
          <w:noProof/>
          <w:szCs w:val="28"/>
        </w:rPr>
        <w:drawing>
          <wp:inline distT="0" distB="0" distL="0" distR="0">
            <wp:extent cx="571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>
        <w:rPr>
          <w:szCs w:val="28"/>
        </w:rPr>
        <w:lastRenderedPageBreak/>
        <w:t>разработка, рассмотрение и согласование проектов нормативных правовых актов.</w:t>
      </w:r>
    </w:p>
    <w:p w:rsidR="006F56EA" w:rsidRDefault="006F56EA" w:rsidP="006F56EA">
      <w:pPr>
        <w:spacing w:after="0" w:line="254" w:lineRule="auto"/>
        <w:ind w:left="714" w:right="14" w:firstLine="0"/>
        <w:rPr>
          <w:szCs w:val="28"/>
        </w:rPr>
      </w:pPr>
    </w:p>
    <w:p w:rsidR="006F56EA" w:rsidRDefault="006F56EA" w:rsidP="006F56EA">
      <w:pPr>
        <w:spacing w:after="0" w:line="247" w:lineRule="auto"/>
        <w:ind w:left="596" w:right="605" w:hanging="10"/>
        <w:jc w:val="center"/>
        <w:rPr>
          <w:b/>
          <w:szCs w:val="28"/>
        </w:rPr>
      </w:pPr>
      <w:r>
        <w:rPr>
          <w:b/>
          <w:szCs w:val="28"/>
        </w:rPr>
        <w:t>3. Должностные обязанности</w:t>
      </w:r>
    </w:p>
    <w:p w:rsidR="006F56EA" w:rsidRDefault="006F56EA" w:rsidP="006F56EA">
      <w:pPr>
        <w:spacing w:after="0"/>
        <w:ind w:left="100" w:right="77"/>
        <w:rPr>
          <w:szCs w:val="28"/>
        </w:rPr>
      </w:pPr>
      <w:r>
        <w:rPr>
          <w:szCs w:val="28"/>
        </w:rP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6F56EA" w:rsidRDefault="006F56EA" w:rsidP="006F56EA">
      <w:pPr>
        <w:spacing w:after="0"/>
        <w:ind w:left="758" w:right="14" w:firstLine="0"/>
        <w:rPr>
          <w:szCs w:val="28"/>
        </w:rPr>
      </w:pPr>
      <w:r>
        <w:rPr>
          <w:szCs w:val="28"/>
        </w:rPr>
        <w:t>Исходя из функций и задач отдела Главный специалист-эксперт: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Участвует в обеспечении деятельности Министерства по вопросам, относящимся к компетенции управления;</w:t>
      </w:r>
    </w:p>
    <w:p w:rsidR="006F56EA" w:rsidRDefault="006F56EA" w:rsidP="006F56EA">
      <w:pPr>
        <w:numPr>
          <w:ilvl w:val="1"/>
          <w:numId w:val="4"/>
        </w:numPr>
        <w:spacing w:after="0" w:line="256" w:lineRule="auto"/>
        <w:ind w:right="14" w:firstLine="700"/>
        <w:rPr>
          <w:szCs w:val="28"/>
        </w:rPr>
      </w:pPr>
      <w:r>
        <w:rPr>
          <w:szCs w:val="28"/>
        </w:rPr>
        <w:t>Участвует в подготовке проектов приказов и других нормативных актов Министерства, относящихся к компетенции управления;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Вносит предложения по совершенствованию работы на порученном участке работы и повышению эффективности работы управления;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Координирует деятельность структурных подразделений Министерства, подведомственных получателей средств бюджета Пензенской области по исполнению соответствующей части бюджета Пензенской области;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Осуществляет мониторинг хода исполнения бюджета Пензенской области Министерством; анализирует использование бюджетных средств, в том числе наличие остатков неиспользованных средств па лицевых счетах Министерства и подведомственных Министерству учреждений;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Готовит предложения Министерства как главного распорядителя средств бюджета Пензенской области по распределению бюджетных ассигнований, лимитов бюджетных обязательств по подведомственным получателям средств бюджета Пензенской области;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Участвует в составлении расчетов к проекту бюджета на очередной финансовой год по Министерству;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 xml:space="preserve">Готовит материалы и расчеты для формирования предложений по внесению изменений в закон о бюджете Пензенской области на очередной финансовый год и на плановый период по Министерству как главному распорядителю и получателю средств бюджета Пензенской области, предусмотренных на содержание Министерства и выполнение возложенных на </w:t>
      </w:r>
      <w:proofErr w:type="spellStart"/>
      <w:r>
        <w:rPr>
          <w:szCs w:val="28"/>
        </w:rPr>
        <w:t>Министерствое</w:t>
      </w:r>
      <w:proofErr w:type="spellEnd"/>
      <w:r>
        <w:rPr>
          <w:szCs w:val="28"/>
        </w:rPr>
        <w:t xml:space="preserve"> функций;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Составляет уведомления о бюджетных ассигнованиях и бюджетных обязательствах по подведомственным учреждениям и иным получателям бюджетных средств;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lastRenderedPageBreak/>
        <w:t>Осуществляет учет субсидий, субвенций, социальных выплат и иных межбюджетных трансфертов, имеющих целевое назначение;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Осуществляет функции предварительного и текущего контроля по операциям с бюджетными средствами Министерства как получателя бюджетных средств, предусмотренных на содержание Министерства;</w:t>
      </w:r>
    </w:p>
    <w:p w:rsidR="006F56EA" w:rsidRDefault="006F56EA" w:rsidP="006F56EA">
      <w:pPr>
        <w:numPr>
          <w:ilvl w:val="1"/>
          <w:numId w:val="4"/>
        </w:numPr>
        <w:spacing w:after="0"/>
        <w:ind w:right="14" w:firstLine="700"/>
        <w:rPr>
          <w:szCs w:val="28"/>
        </w:rPr>
      </w:pPr>
      <w:r>
        <w:rPr>
          <w:szCs w:val="28"/>
        </w:rPr>
        <w:t>Принимает участие в приемке, обработке и анализе бюджетной отчетности подведомственных Министерству учреждений;</w:t>
      </w:r>
    </w:p>
    <w:p w:rsidR="006F56EA" w:rsidRDefault="006F56EA" w:rsidP="006F56EA">
      <w:pPr>
        <w:spacing w:after="0"/>
        <w:ind w:left="29" w:right="14"/>
        <w:rPr>
          <w:szCs w:val="28"/>
        </w:rPr>
      </w:pPr>
      <w:r>
        <w:rPr>
          <w:szCs w:val="28"/>
        </w:rPr>
        <w:t>3.13. Формирует годовую, квартальную и месячную отчетность Министерства как главного распорядителя и получателя средств бюджета Пензенской области;</w:t>
      </w:r>
    </w:p>
    <w:p w:rsidR="006F56EA" w:rsidRDefault="006F56EA" w:rsidP="006F56EA">
      <w:pPr>
        <w:spacing w:after="0"/>
        <w:ind w:left="29" w:right="14"/>
        <w:rPr>
          <w:szCs w:val="28"/>
        </w:rPr>
      </w:pPr>
      <w:r>
        <w:rPr>
          <w:szCs w:val="28"/>
        </w:rPr>
        <w:t>3.14. Осуществляет контроль за расходованием средств, выделяемых на содержание Министерства;</w:t>
      </w:r>
    </w:p>
    <w:p w:rsidR="006F56EA" w:rsidRDefault="006F56EA" w:rsidP="006F56EA">
      <w:pPr>
        <w:numPr>
          <w:ilvl w:val="1"/>
          <w:numId w:val="5"/>
        </w:numPr>
        <w:spacing w:after="0"/>
        <w:ind w:right="74" w:firstLine="700"/>
        <w:rPr>
          <w:szCs w:val="28"/>
        </w:rPr>
      </w:pPr>
      <w:r>
        <w:rPr>
          <w:szCs w:val="28"/>
        </w:rPr>
        <w:t>Осуществляет приемку планов финансово — хозяйственной деятельности подведомственных Министерству учреждений;</w:t>
      </w:r>
    </w:p>
    <w:p w:rsidR="006F56EA" w:rsidRDefault="006F56EA" w:rsidP="006F56EA">
      <w:pPr>
        <w:numPr>
          <w:ilvl w:val="1"/>
          <w:numId w:val="5"/>
        </w:numPr>
        <w:spacing w:after="0"/>
        <w:ind w:right="74" w:firstLine="700"/>
        <w:rPr>
          <w:szCs w:val="28"/>
        </w:rPr>
      </w:pPr>
      <w:r>
        <w:rPr>
          <w:szCs w:val="28"/>
        </w:rPr>
        <w:t>Проводит проверки финансово хозяйственной деятельности подведомственных Министерству учреждений в соответствии с программой, в ходе их проведения принимает меры к максимальному устранению выявленных нарушений;</w:t>
      </w:r>
    </w:p>
    <w:p w:rsidR="006F56EA" w:rsidRDefault="006F56EA" w:rsidP="006F56EA">
      <w:pPr>
        <w:numPr>
          <w:ilvl w:val="1"/>
          <w:numId w:val="5"/>
        </w:numPr>
        <w:spacing w:after="0"/>
        <w:ind w:right="74" w:firstLine="700"/>
        <w:rPr>
          <w:szCs w:val="28"/>
        </w:rPr>
      </w:pPr>
      <w:r>
        <w:rPr>
          <w:szCs w:val="28"/>
        </w:rPr>
        <w:t>Формирует уведомления о лимитах бюджетных обязательств, о лимитах бюджетных ассигнованиях, по расчетам между бюджетами по межбюджетным трансфертам и направляет подведомственным учреждениям и иным получателям бюджетных средств;</w:t>
      </w:r>
    </w:p>
    <w:p w:rsidR="006F56EA" w:rsidRDefault="006F56EA" w:rsidP="006F56EA">
      <w:pPr>
        <w:numPr>
          <w:ilvl w:val="1"/>
          <w:numId w:val="5"/>
        </w:numPr>
        <w:spacing w:after="0"/>
        <w:ind w:right="74" w:firstLine="700"/>
        <w:rPr>
          <w:szCs w:val="28"/>
        </w:rPr>
      </w:pPr>
      <w:r>
        <w:rPr>
          <w:szCs w:val="28"/>
        </w:rPr>
        <w:t>Формирует уведомления об изменении лимитов бюджетных обязательств, об изменении лимитов бюджетных ассигнованиях и направляет подведомственным учреждениям;</w:t>
      </w:r>
    </w:p>
    <w:p w:rsidR="006F56EA" w:rsidRDefault="006F56EA" w:rsidP="006F56EA">
      <w:pPr>
        <w:spacing w:after="0"/>
        <w:ind w:left="100" w:right="173"/>
        <w:rPr>
          <w:szCs w:val="28"/>
        </w:rPr>
      </w:pPr>
      <w:r>
        <w:rPr>
          <w:szCs w:val="28"/>
        </w:rPr>
        <w:t>3.19. Проверяет и вносит в автоматизированную финансовую программу план финансово — хозяйственной деятельности бюджетных и автономных учреждений и изменения по нему;</w:t>
      </w:r>
    </w:p>
    <w:p w:rsidR="006F56EA" w:rsidRDefault="006F56EA" w:rsidP="006F56EA">
      <w:pPr>
        <w:numPr>
          <w:ilvl w:val="1"/>
          <w:numId w:val="6"/>
        </w:numPr>
        <w:spacing w:after="0"/>
        <w:ind w:right="77" w:firstLine="700"/>
        <w:rPr>
          <w:szCs w:val="28"/>
        </w:rPr>
      </w:pPr>
      <w:r>
        <w:rPr>
          <w:szCs w:val="28"/>
        </w:rPr>
        <w:t>Осуществляет подготовку заявок на оплату расходов Министерства как главного распорядителя средств бюджета Пензенской области и направляет в УФК по Пензенской области;</w:t>
      </w:r>
    </w:p>
    <w:p w:rsidR="006F56EA" w:rsidRDefault="006F56EA" w:rsidP="006F56EA">
      <w:pPr>
        <w:numPr>
          <w:ilvl w:val="1"/>
          <w:numId w:val="6"/>
        </w:numPr>
        <w:spacing w:after="0"/>
        <w:ind w:right="77" w:firstLine="700"/>
        <w:rPr>
          <w:szCs w:val="28"/>
        </w:rPr>
      </w:pPr>
      <w:r>
        <w:rPr>
          <w:szCs w:val="28"/>
        </w:rPr>
        <w:t>Формирует уведомления об уточнении кода бюджетной классификации по произведенным кассовым выплатам;</w:t>
      </w:r>
    </w:p>
    <w:p w:rsidR="006F56EA" w:rsidRDefault="006F56EA" w:rsidP="006F56EA">
      <w:pPr>
        <w:numPr>
          <w:ilvl w:val="1"/>
          <w:numId w:val="6"/>
        </w:numPr>
        <w:spacing w:after="0"/>
        <w:ind w:right="77" w:firstLine="700"/>
        <w:rPr>
          <w:szCs w:val="28"/>
        </w:rPr>
      </w:pPr>
      <w:r>
        <w:rPr>
          <w:szCs w:val="28"/>
        </w:rPr>
        <w:t>Осуществляет обработку первичных документов по расходам и формирует журнал операций по средствам учреждения № 2 (лицевым счетам, открытым в УФК по Пензенской области);</w:t>
      </w:r>
    </w:p>
    <w:p w:rsidR="006F56EA" w:rsidRDefault="006F56EA" w:rsidP="006F56EA">
      <w:pPr>
        <w:numPr>
          <w:ilvl w:val="1"/>
          <w:numId w:val="6"/>
        </w:numPr>
        <w:spacing w:after="0"/>
        <w:ind w:right="77" w:firstLine="700"/>
        <w:rPr>
          <w:szCs w:val="28"/>
        </w:rPr>
      </w:pPr>
      <w:r>
        <w:rPr>
          <w:szCs w:val="28"/>
        </w:rPr>
        <w:t>Обеспечивает систематический контроль за состоянием расчетов с юридическими и физическими лицами;</w:t>
      </w:r>
    </w:p>
    <w:p w:rsidR="006F56EA" w:rsidRDefault="006F56EA" w:rsidP="006F56EA">
      <w:pPr>
        <w:numPr>
          <w:ilvl w:val="1"/>
          <w:numId w:val="6"/>
        </w:numPr>
        <w:spacing w:after="0"/>
        <w:ind w:right="77" w:firstLine="700"/>
        <w:rPr>
          <w:szCs w:val="28"/>
        </w:rPr>
      </w:pPr>
      <w:r>
        <w:rPr>
          <w:szCs w:val="28"/>
        </w:rPr>
        <w:t>Проводит своевременную выверку всех расчетов с подотчетными лицами и другими дебиторами и кредиторами;</w:t>
      </w:r>
    </w:p>
    <w:p w:rsidR="006F56EA" w:rsidRDefault="006F56EA" w:rsidP="006F56EA">
      <w:pPr>
        <w:spacing w:after="0"/>
        <w:ind w:left="800" w:right="202" w:firstLine="0"/>
        <w:rPr>
          <w:szCs w:val="28"/>
        </w:rPr>
      </w:pPr>
      <w:r>
        <w:rPr>
          <w:szCs w:val="28"/>
        </w:rPr>
        <w:t>3.25. Осуществляет подготовку заявок на оплату расходов Министерства как получателя средств бюджета Пензенской области и направляет в Министерство финансов Пензенской области;</w:t>
      </w:r>
    </w:p>
    <w:p w:rsidR="006F56EA" w:rsidRDefault="006F56EA" w:rsidP="006F56EA">
      <w:pPr>
        <w:spacing w:after="0"/>
        <w:ind w:left="100" w:right="14"/>
        <w:rPr>
          <w:szCs w:val="28"/>
        </w:rPr>
      </w:pPr>
      <w:r>
        <w:rPr>
          <w:szCs w:val="28"/>
        </w:rPr>
        <w:lastRenderedPageBreak/>
        <w:t>3.26. Формирует выписки лицевых счетов, открытых в Министерстве финансов Пензенской области, на бумажном носителе;</w:t>
      </w:r>
    </w:p>
    <w:p w:rsidR="006F56EA" w:rsidRDefault="006F56EA" w:rsidP="006F56EA">
      <w:pPr>
        <w:numPr>
          <w:ilvl w:val="1"/>
          <w:numId w:val="7"/>
        </w:numPr>
        <w:spacing w:after="0"/>
        <w:ind w:right="14" w:firstLine="700"/>
        <w:rPr>
          <w:szCs w:val="28"/>
        </w:rPr>
      </w:pPr>
      <w:r>
        <w:rPr>
          <w:szCs w:val="28"/>
        </w:rPr>
        <w:t>Работает в государственной интегрированной информационной системе управления общественными финансами «Электронный бюджет»;</w:t>
      </w:r>
    </w:p>
    <w:p w:rsidR="006F56EA" w:rsidRDefault="006F56EA" w:rsidP="006F56EA">
      <w:pPr>
        <w:numPr>
          <w:ilvl w:val="1"/>
          <w:numId w:val="7"/>
        </w:numPr>
        <w:spacing w:after="0"/>
        <w:ind w:right="14" w:firstLine="700"/>
        <w:rPr>
          <w:szCs w:val="28"/>
        </w:rPr>
      </w:pPr>
      <w:r>
        <w:rPr>
          <w:szCs w:val="28"/>
        </w:rPr>
        <w:t>Рассматривает предложения, заявления и жалобы граждан по вопросам, относящимся к сфере деятельности управления;</w:t>
      </w:r>
    </w:p>
    <w:p w:rsidR="006F56EA" w:rsidRDefault="006F56EA" w:rsidP="006F56EA">
      <w:pPr>
        <w:spacing w:after="0"/>
        <w:ind w:left="0" w:right="202" w:firstLine="709"/>
        <w:rPr>
          <w:szCs w:val="28"/>
        </w:rPr>
      </w:pPr>
      <w:r>
        <w:rPr>
          <w:szCs w:val="28"/>
        </w:rPr>
        <w:t>3. 29.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должности;</w:t>
      </w:r>
    </w:p>
    <w:p w:rsidR="006F56EA" w:rsidRDefault="006F56EA" w:rsidP="006F56EA">
      <w:pPr>
        <w:numPr>
          <w:ilvl w:val="1"/>
          <w:numId w:val="8"/>
        </w:numPr>
        <w:spacing w:after="0"/>
        <w:ind w:right="202" w:firstLine="700"/>
        <w:rPr>
          <w:szCs w:val="28"/>
        </w:rPr>
      </w:pPr>
      <w:r>
        <w:rPr>
          <w:szCs w:val="28"/>
        </w:rPr>
        <w:t>Выполняет иные поручения начальника управления, относящиеся к сфере деятельности управления, Министерства;</w:t>
      </w:r>
    </w:p>
    <w:p w:rsidR="006F56EA" w:rsidRDefault="006F56EA" w:rsidP="006F56EA">
      <w:pPr>
        <w:numPr>
          <w:ilvl w:val="1"/>
          <w:numId w:val="8"/>
        </w:numPr>
        <w:spacing w:after="0"/>
        <w:ind w:right="202" w:firstLine="700"/>
        <w:rPr>
          <w:szCs w:val="28"/>
        </w:rPr>
      </w:pPr>
      <w:r>
        <w:rPr>
          <w:szCs w:val="28"/>
        </w:rPr>
        <w:t>Хранит государственную или иную охраняемую законом тайну и обеспечивает конфиденциальность ставших ему известными в связи с исполнением должностных обязанностей сведений, документов;</w:t>
      </w:r>
    </w:p>
    <w:p w:rsidR="006F56EA" w:rsidRDefault="006F56EA" w:rsidP="006F56EA">
      <w:pPr>
        <w:numPr>
          <w:ilvl w:val="1"/>
          <w:numId w:val="8"/>
        </w:numPr>
        <w:spacing w:after="0"/>
        <w:ind w:right="202" w:firstLine="700"/>
        <w:rPr>
          <w:szCs w:val="28"/>
        </w:rPr>
      </w:pPr>
      <w:r>
        <w:rPr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к предотвращению такого конфликта.</w:t>
      </w:r>
    </w:p>
    <w:p w:rsidR="006F56EA" w:rsidRDefault="006F56EA" w:rsidP="006F56EA">
      <w:pPr>
        <w:spacing w:after="0" w:line="247" w:lineRule="auto"/>
        <w:ind w:left="596" w:right="38" w:hanging="10"/>
        <w:jc w:val="center"/>
        <w:rPr>
          <w:szCs w:val="28"/>
        </w:rPr>
      </w:pPr>
    </w:p>
    <w:p w:rsidR="0020283D" w:rsidRDefault="0020283D" w:rsidP="006F56EA">
      <w:pPr>
        <w:jc w:val="center"/>
      </w:pPr>
    </w:p>
    <w:sectPr w:rsidR="0020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2.25pt" o:bullet="t">
        <v:imagedata r:id="rId1" o:title="clip_image001"/>
      </v:shape>
    </w:pict>
  </w:numPicBullet>
  <w:abstractNum w:abstractNumId="0" w15:restartNumberingAfterBreak="0">
    <w:nsid w:val="346C5454"/>
    <w:multiLevelType w:val="multilevel"/>
    <w:tmpl w:val="DFE6FEB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22709D7"/>
    <w:multiLevelType w:val="hybridMultilevel"/>
    <w:tmpl w:val="43081268"/>
    <w:lvl w:ilvl="0" w:tplc="61580572">
      <w:start w:val="1"/>
      <w:numFmt w:val="bullet"/>
      <w:lvlText w:val="-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8700D84">
      <w:start w:val="1"/>
      <w:numFmt w:val="bullet"/>
      <w:lvlText w:val="o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46C09D4">
      <w:start w:val="1"/>
      <w:numFmt w:val="bullet"/>
      <w:lvlText w:val="▪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24EB080">
      <w:start w:val="1"/>
      <w:numFmt w:val="bullet"/>
      <w:lvlText w:val="•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D6ED030">
      <w:start w:val="1"/>
      <w:numFmt w:val="bullet"/>
      <w:lvlText w:val="o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D1AC7CC">
      <w:start w:val="1"/>
      <w:numFmt w:val="bullet"/>
      <w:lvlText w:val="▪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50E049E">
      <w:start w:val="1"/>
      <w:numFmt w:val="bullet"/>
      <w:lvlText w:val="•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C887E34">
      <w:start w:val="1"/>
      <w:numFmt w:val="bullet"/>
      <w:lvlText w:val="o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BDEBCE8">
      <w:start w:val="1"/>
      <w:numFmt w:val="bullet"/>
      <w:lvlText w:val="▪"/>
      <w:lvlJc w:val="left"/>
      <w:pPr>
        <w:ind w:left="6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7E25ADB"/>
    <w:multiLevelType w:val="multilevel"/>
    <w:tmpl w:val="A588EAD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99B4BE5"/>
    <w:multiLevelType w:val="multilevel"/>
    <w:tmpl w:val="9B1E6F5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CD94462"/>
    <w:multiLevelType w:val="multilevel"/>
    <w:tmpl w:val="4DFE7906"/>
    <w:lvl w:ilvl="0">
      <w:start w:val="3"/>
      <w:numFmt w:val="decimal"/>
      <w:lvlText w:val="%1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0"/>
      <w:numFmt w:val="decimal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DFF3A56"/>
    <w:multiLevelType w:val="multilevel"/>
    <w:tmpl w:val="78444208"/>
    <w:lvl w:ilvl="0">
      <w:start w:val="3"/>
      <w:numFmt w:val="decimal"/>
      <w:lvlText w:val="%1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7"/>
      <w:numFmt w:val="decimal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BA82053"/>
    <w:multiLevelType w:val="hybridMultilevel"/>
    <w:tmpl w:val="75D85692"/>
    <w:lvl w:ilvl="0" w:tplc="B4AE11A0">
      <w:start w:val="1"/>
      <w:numFmt w:val="bullet"/>
      <w:lvlText w:val="-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CA4227E">
      <w:start w:val="1"/>
      <w:numFmt w:val="bullet"/>
      <w:lvlText w:val="o"/>
      <w:lvlJc w:val="left"/>
      <w:pPr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454B64C">
      <w:start w:val="1"/>
      <w:numFmt w:val="bullet"/>
      <w:lvlText w:val="▪"/>
      <w:lvlJc w:val="left"/>
      <w:pPr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12E923C">
      <w:start w:val="1"/>
      <w:numFmt w:val="bullet"/>
      <w:lvlText w:val="•"/>
      <w:lvlJc w:val="left"/>
      <w:pPr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E70C4AC">
      <w:start w:val="1"/>
      <w:numFmt w:val="bullet"/>
      <w:lvlText w:val="o"/>
      <w:lvlJc w:val="left"/>
      <w:pPr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AD5C451C">
      <w:start w:val="1"/>
      <w:numFmt w:val="bullet"/>
      <w:lvlText w:val="▪"/>
      <w:lvlJc w:val="left"/>
      <w:pPr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CF84312">
      <w:start w:val="1"/>
      <w:numFmt w:val="bullet"/>
      <w:lvlText w:val="•"/>
      <w:lvlJc w:val="left"/>
      <w:pPr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6F673B4">
      <w:start w:val="1"/>
      <w:numFmt w:val="bullet"/>
      <w:lvlText w:val="o"/>
      <w:lvlJc w:val="left"/>
      <w:pPr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C760CDC">
      <w:start w:val="1"/>
      <w:numFmt w:val="bullet"/>
      <w:lvlText w:val="▪"/>
      <w:lvlJc w:val="left"/>
      <w:pPr>
        <w:ind w:left="6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DD935C3"/>
    <w:multiLevelType w:val="hybridMultilevel"/>
    <w:tmpl w:val="910A98CC"/>
    <w:lvl w:ilvl="0" w:tplc="6CE06F52">
      <w:start w:val="1"/>
      <w:numFmt w:val="bullet"/>
      <w:lvlText w:val="-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E746D94">
      <w:start w:val="1"/>
      <w:numFmt w:val="bullet"/>
      <w:lvlText w:val="o"/>
      <w:lvlJc w:val="left"/>
      <w:pPr>
        <w:ind w:left="1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BE03786">
      <w:start w:val="1"/>
      <w:numFmt w:val="bullet"/>
      <w:lvlText w:val="▪"/>
      <w:lvlJc w:val="left"/>
      <w:pPr>
        <w:ind w:left="2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9A36B4AE">
      <w:start w:val="1"/>
      <w:numFmt w:val="bullet"/>
      <w:lvlText w:val="•"/>
      <w:lvlJc w:val="left"/>
      <w:pPr>
        <w:ind w:left="3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8BE761A">
      <w:start w:val="1"/>
      <w:numFmt w:val="bullet"/>
      <w:lvlText w:val="o"/>
      <w:lvlJc w:val="left"/>
      <w:pPr>
        <w:ind w:left="4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4F0848A4">
      <w:start w:val="1"/>
      <w:numFmt w:val="bullet"/>
      <w:lvlText w:val="▪"/>
      <w:lvlJc w:val="left"/>
      <w:pPr>
        <w:ind w:left="4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96C9F5A">
      <w:start w:val="1"/>
      <w:numFmt w:val="bullet"/>
      <w:lvlText w:val="•"/>
      <w:lvlJc w:val="left"/>
      <w:pPr>
        <w:ind w:left="5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D6644FA">
      <w:start w:val="1"/>
      <w:numFmt w:val="bullet"/>
      <w:lvlText w:val="o"/>
      <w:lvlJc w:val="left"/>
      <w:pPr>
        <w:ind w:left="6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B0E0DB6">
      <w:start w:val="1"/>
      <w:numFmt w:val="bullet"/>
      <w:lvlText w:val="▪"/>
      <w:lvlJc w:val="left"/>
      <w:pPr>
        <w:ind w:left="6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3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55"/>
    <w:rsid w:val="00073B55"/>
    <w:rsid w:val="0020283D"/>
    <w:rsid w:val="00236CA8"/>
    <w:rsid w:val="006F56EA"/>
    <w:rsid w:val="007A2605"/>
    <w:rsid w:val="00C0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B99AC-1BAD-451C-802D-B8BEE25C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EA"/>
    <w:pPr>
      <w:spacing w:after="5" w:line="252" w:lineRule="auto"/>
      <w:ind w:left="58" w:right="29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6C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236C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6CA8"/>
    <w:pPr>
      <w:widowControl w:val="0"/>
      <w:shd w:val="clear" w:color="auto" w:fill="FFFFFF"/>
      <w:spacing w:after="360" w:line="317" w:lineRule="exact"/>
      <w:ind w:left="0" w:right="0" w:firstLine="0"/>
      <w:jc w:val="left"/>
    </w:pPr>
    <w:rPr>
      <w:color w:val="auto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2021-10-19T07:11:00Z</dcterms:created>
  <dcterms:modified xsi:type="dcterms:W3CDTF">2021-10-19T07:11:00Z</dcterms:modified>
</cp:coreProperties>
</file>