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D8" w:rsidRDefault="00EB1CD8" w:rsidP="00EB1CD8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EB1CD8" w:rsidRDefault="00EB1CD8" w:rsidP="00EB1CD8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EB1CD8" w:rsidRDefault="00EB1CD8" w:rsidP="00EB1CD8">
      <w:pPr>
        <w:pStyle w:val="ConsPlusTitle"/>
        <w:widowControl/>
        <w:ind w:firstLine="709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Вид профессиональной служебной деятельности главного специалиста- эксперта отдела: </w:t>
      </w:r>
      <w:r>
        <w:rPr>
          <w:bCs w:val="0"/>
          <w:sz w:val="28"/>
          <w:szCs w:val="28"/>
        </w:rPr>
        <w:t>«Оценка и учет состояния объектов жилищно-коммунального комплекса».</w:t>
      </w:r>
    </w:p>
    <w:p w:rsidR="00610991" w:rsidRDefault="00610991" w:rsidP="00610991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610991" w:rsidRDefault="00610991" w:rsidP="00610991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610991" w:rsidRDefault="00610991" w:rsidP="006109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замещения должности главного специалиста-эксперта </w:t>
      </w:r>
      <w:r>
        <w:rPr>
          <w:rFonts w:eastAsia="Courier New"/>
          <w:color w:val="000000"/>
          <w:sz w:val="28"/>
          <w:szCs w:val="28"/>
        </w:rPr>
        <w:t>Управления</w:t>
      </w:r>
      <w:r>
        <w:rPr>
          <w:sz w:val="28"/>
          <w:szCs w:val="28"/>
        </w:rPr>
        <w:t xml:space="preserve"> 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610991" w:rsidRDefault="00610991" w:rsidP="00610991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0991" w:rsidRDefault="00610991" w:rsidP="0061099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610991" w:rsidRDefault="00610991" w:rsidP="00610991">
      <w:pPr>
        <w:ind w:firstLine="709"/>
        <w:jc w:val="center"/>
        <w:rPr>
          <w:b/>
          <w:sz w:val="28"/>
          <w:szCs w:val="28"/>
        </w:rPr>
      </w:pP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 </w:t>
      </w:r>
      <w:r>
        <w:rPr>
          <w:rFonts w:eastAsia="Courier New"/>
          <w:color w:val="000000"/>
          <w:sz w:val="28"/>
          <w:szCs w:val="28"/>
        </w:rPr>
        <w:t>Управления</w:t>
      </w:r>
      <w:r>
        <w:rPr>
          <w:sz w:val="28"/>
          <w:szCs w:val="28"/>
        </w:rPr>
        <w:t>, должен иметь высшее образование.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главного специалиста-эксперта </w:t>
      </w:r>
      <w:r>
        <w:rPr>
          <w:rFonts w:eastAsia="Courier New"/>
          <w:color w:val="000000"/>
          <w:sz w:val="28"/>
          <w:szCs w:val="28"/>
        </w:rPr>
        <w:t>Управления</w:t>
      </w:r>
      <w:r>
        <w:rPr>
          <w:sz w:val="28"/>
          <w:szCs w:val="28"/>
        </w:rPr>
        <w:t xml:space="preserve"> требования к стажу не предъявляются. 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Гражданский служащий, замещающий должность главного специалиста-эксперта </w:t>
      </w:r>
      <w:r>
        <w:rPr>
          <w:rFonts w:eastAsia="Courier New"/>
          <w:color w:val="000000"/>
          <w:sz w:val="28"/>
          <w:szCs w:val="28"/>
        </w:rPr>
        <w:t>Управления</w:t>
      </w:r>
      <w:r>
        <w:rPr>
          <w:sz w:val="28"/>
          <w:szCs w:val="28"/>
        </w:rPr>
        <w:t>, должен обладать следующими базовыми знаниями и умениями: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2.1.4. Умения гражданского служащего, замещающего должность главного специалиста-эксперта </w:t>
      </w:r>
      <w:r>
        <w:rPr>
          <w:rFonts w:eastAsia="Courier New"/>
          <w:color w:val="000000"/>
          <w:sz w:val="28"/>
          <w:szCs w:val="28"/>
        </w:rPr>
        <w:t>Управления</w:t>
      </w:r>
      <w:r>
        <w:rPr>
          <w:sz w:val="28"/>
          <w:szCs w:val="28"/>
        </w:rPr>
        <w:t>, включают следующие умения: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10991" w:rsidRDefault="00610991" w:rsidP="00610991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10991" w:rsidRDefault="00610991" w:rsidP="00610991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610991" w:rsidRDefault="00610991" w:rsidP="00610991">
      <w:pPr>
        <w:tabs>
          <w:tab w:val="left" w:pos="1642"/>
        </w:tabs>
        <w:spacing w:line="326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2.2.1. Требования к направлениям подготовки (специализации) не предъявляются.</w:t>
      </w:r>
    </w:p>
    <w:p w:rsidR="00610991" w:rsidRDefault="00610991" w:rsidP="00610991">
      <w:pPr>
        <w:autoSpaceDE w:val="0"/>
        <w:autoSpaceDN w:val="0"/>
        <w:adjustRightInd w:val="0"/>
        <w:spacing w:before="60" w:after="6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главного специалиста-эксперта Управления, должен обладать следующими профессиональными знаниями в сфере законодательства Российской Федерации: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Федерации; 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Федерации;  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Жилищный Кодекс Российской Федерации;  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Федерации;  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Российской Федерации об административных правонарушениях;  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30 декабря 2009 г. № 384-ФЗ «Технический регламент о безопасности зданий и сооружений»;  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июля 2014 г. № 209-ФЗ «О государственной информационной системе жилищно-коммунального хозяйства»;  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услуг»;  </w:t>
      </w:r>
    </w:p>
    <w:p w:rsidR="00610991" w:rsidRDefault="00610991" w:rsidP="00610991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before="60" w:after="6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Закон РФ от 14.01.1993 №4292-1 «Об увековечении памяти погибших при защите Отечества»;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12.01.1996 №8-ФЗ «О погребении и похоронном деле»;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09.08.2019 №1036 «Об утверждении федеральной целевой программы «Увековечение памяти погибших при защите Отечества на 2019 - 2024 годы»;</w:t>
      </w:r>
    </w:p>
    <w:p w:rsidR="00610991" w:rsidRDefault="00610991" w:rsidP="00610991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before="60" w:after="6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Пензенской области от 01.09.2017 №414-пП (с последующими изменениями) «Об утверждении государственной </w:t>
      </w:r>
      <w:r>
        <w:rPr>
          <w:sz w:val="28"/>
          <w:szCs w:val="28"/>
        </w:rPr>
        <w:lastRenderedPageBreak/>
        <w:t>программы Пензенской области «Формирование комфортной городской среды на территории Пензенской области на 2018 - 2024 годы».</w:t>
      </w:r>
    </w:p>
    <w:p w:rsidR="00610991" w:rsidRDefault="00610991" w:rsidP="00610991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before="60" w:after="6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Гражданский служащий, замещающий должность главного специалиста-эксперта Управления, должен обладать следующими </w:t>
      </w:r>
      <w:r>
        <w:rPr>
          <w:b/>
          <w:sz w:val="28"/>
          <w:szCs w:val="28"/>
        </w:rPr>
        <w:t>иными профессиональными знаниями:</w:t>
      </w:r>
    </w:p>
    <w:p w:rsidR="00610991" w:rsidRDefault="00610991" w:rsidP="00610991">
      <w:pPr>
        <w:pStyle w:val="ConsPlusTitle"/>
        <w:widowControl/>
        <w:spacing w:before="60" w:after="6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sz w:val="28"/>
          <w:szCs w:val="28"/>
        </w:rPr>
        <w:t>Организация благоустройства территорий муниципальных образований и повышение его уровня»:</w:t>
      </w:r>
      <w:r>
        <w:rPr>
          <w:b w:val="0"/>
          <w:bCs w:val="0"/>
          <w:sz w:val="28"/>
          <w:szCs w:val="28"/>
        </w:rPr>
        <w:t xml:space="preserve"> 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610991" w:rsidRDefault="00610991" w:rsidP="00610991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работы с муниципальными образованиями и органами исполнительной власти.</w:t>
      </w:r>
    </w:p>
    <w:p w:rsidR="00610991" w:rsidRDefault="00610991" w:rsidP="006109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610991" w:rsidRDefault="00610991" w:rsidP="006109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главного специалиста-эксперта Управления, должен обладать следующими профессиональными умениями:</w:t>
      </w:r>
    </w:p>
    <w:p w:rsidR="00610991" w:rsidRDefault="00610991" w:rsidP="00610991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10991" w:rsidRDefault="00610991" w:rsidP="00610991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610991" w:rsidRDefault="00610991" w:rsidP="00610991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оценки эффективности государственных программ Пензенской области;</w:t>
      </w:r>
    </w:p>
    <w:p w:rsidR="00610991" w:rsidRDefault="00610991" w:rsidP="00610991">
      <w:pPr>
        <w:pStyle w:val="1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8"/>
      <w:bookmarkEnd w:id="1"/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610991" w:rsidRDefault="00610991" w:rsidP="00610991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610991" w:rsidRDefault="00610991" w:rsidP="00610991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610991" w:rsidRDefault="00610991" w:rsidP="00610991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 xml:space="preserve">Гражданский служащий, замещающий должность главного специалиста-эксперта Управления, должен обладать следующими </w:t>
      </w:r>
      <w:r>
        <w:rPr>
          <w:b/>
          <w:sz w:val="28"/>
          <w:szCs w:val="28"/>
        </w:rPr>
        <w:t>функциональными знаниями</w:t>
      </w:r>
      <w:r>
        <w:rPr>
          <w:sz w:val="28"/>
          <w:szCs w:val="28"/>
        </w:rPr>
        <w:t>: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нормативно-правового акта, правоотношений и их признаки;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610991" w:rsidRDefault="00610991" w:rsidP="00610991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 xml:space="preserve">Гражданский служащий, замещающий должность главного специалиста-эксперта Управления, должен обладать следующими </w:t>
      </w:r>
      <w:r>
        <w:rPr>
          <w:b/>
          <w:sz w:val="28"/>
          <w:szCs w:val="28"/>
        </w:rPr>
        <w:t>функциональными умениями:</w:t>
      </w:r>
    </w:p>
    <w:p w:rsidR="00610991" w:rsidRDefault="00610991" w:rsidP="00610991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разработка, рассмотрение и согласование проектов нормативно-правовых актов.</w:t>
      </w:r>
    </w:p>
    <w:p w:rsidR="00610991" w:rsidRDefault="00610991" w:rsidP="00610991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610991" w:rsidRDefault="00610991" w:rsidP="006109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специалист-эксперт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610991" w:rsidRDefault="00610991" w:rsidP="00610991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Министерства, главный специалист-эксперт Управления: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выполнение задач, полномочий, функций, возложенных на Управление.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Управления.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в соответствии с должностным регламентом.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проекты нормативно-правовых актов Правительства Пензенской области и Министерства.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по выполнению задач, полномочий, функций, возложенных на Управление после согласования с руководителями.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комиссии по отбору объектов для включения в долгосрочные целевые программы.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размещении информации в ГИС ЖКХ в пределах компетенции Управления.</w:t>
      </w:r>
    </w:p>
    <w:p w:rsidR="00610991" w:rsidRDefault="00610991" w:rsidP="00610991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формировании государственной программы Пензенской области «Формирование комфортной городской среды на территории Пензенской области» (рассматривает заявки на участие в программе, участвует в отборе участников).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Проводит работу по подготовке, обобщению и предоставлению отчетов по реализации мероприятий в рамках государственной программы Пензенской области «Формирование комфортной городской среды на территории Пензенской области».</w:t>
      </w:r>
    </w:p>
    <w:p w:rsidR="00610991" w:rsidRDefault="00610991" w:rsidP="00610991">
      <w:pPr>
        <w:numPr>
          <w:ilvl w:val="0"/>
          <w:numId w:val="2"/>
        </w:numPr>
        <w:tabs>
          <w:tab w:val="num" w:pos="0"/>
        </w:tabs>
        <w:ind w:left="0" w:firstLine="568"/>
        <w:jc w:val="both"/>
        <w:rPr>
          <w:sz w:val="28"/>
        </w:rPr>
      </w:pPr>
      <w:r>
        <w:rPr>
          <w:sz w:val="28"/>
        </w:rPr>
        <w:t>Рассматривает жалобы и обращения граждан в пределах своей компетенции.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Готовит информацию о деятельности Министерства по вопросам, относящимся к компетенции Управления, для размещения в информационно-телекоммуникационной сети «Интернет»;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Консультирует сотрудников Министерства по вопросам, относящимся к компетенции Управления;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Выполняет иные поручения руководителей, относящиеся к сфере деятельности Управления и Министерства.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610991" w:rsidRDefault="00610991" w:rsidP="00610991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610991" w:rsidRDefault="00610991" w:rsidP="00610991">
      <w:pPr>
        <w:ind w:firstLine="720"/>
        <w:jc w:val="both"/>
        <w:rPr>
          <w:rFonts w:eastAsia="Courier New"/>
          <w:b/>
          <w:color w:val="000000"/>
          <w:sz w:val="28"/>
          <w:szCs w:val="28"/>
        </w:rPr>
      </w:pPr>
    </w:p>
    <w:p w:rsidR="0068229F" w:rsidRDefault="0068229F" w:rsidP="00610991">
      <w:pPr>
        <w:jc w:val="center"/>
      </w:pPr>
    </w:p>
    <w:sectPr w:rsidR="0068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96"/>
    <w:rsid w:val="002B0C4F"/>
    <w:rsid w:val="00551386"/>
    <w:rsid w:val="00610991"/>
    <w:rsid w:val="0068229F"/>
    <w:rsid w:val="00743B96"/>
    <w:rsid w:val="00EB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9856E-B25F-4582-AB7A-C0532667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10991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610991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61099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10991"/>
    <w:rPr>
      <w:rFonts w:ascii="Arial" w:hAnsi="Arial" w:cs="Arial"/>
    </w:rPr>
  </w:style>
  <w:style w:type="paragraph" w:customStyle="1" w:styleId="ConsPlusNormal0">
    <w:name w:val="ConsPlusNormal"/>
    <w:link w:val="ConsPlusNormal"/>
    <w:rsid w:val="006109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1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610991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6109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B1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2021-10-19T07:10:00Z</dcterms:created>
  <dcterms:modified xsi:type="dcterms:W3CDTF">2021-10-19T07:10:00Z</dcterms:modified>
</cp:coreProperties>
</file>