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shd w:fill="auto" w:val="clear"/>
          <w:lang w:eastAsia="ru-RU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06"/>
      </w:tblGrid>
      <w:tr>
        <w:trPr>
          <w:trHeight w:val="180" w:hRule="exact"/>
        </w:trPr>
        <w:tc>
          <w:tcPr>
            <w:tcW w:w="9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  <w:lang w:eastAsia="ru-RU"/>
              </w:rPr>
              <w:t>ПЕНЗЕНСКОЙ ОБЛАСТИ</w:t>
            </w:r>
          </w:p>
        </w:tc>
      </w:tr>
      <w:tr>
        <w:trPr>
          <w:trHeight w:val="397" w:hRule="exact"/>
        </w:trPr>
        <w:tc>
          <w:tcPr>
            <w:tcW w:w="9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606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/>
                <w:color w:val="000000"/>
                <w:sz w:val="32"/>
                <w:szCs w:val="32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32"/>
                <w:szCs w:val="32"/>
                <w:shd w:fill="auto" w:val="clear"/>
                <w:lang w:eastAsia="ru-RU"/>
              </w:rPr>
              <w:t>П Р И К А 3</w:t>
            </w:r>
          </w:p>
        </w:tc>
      </w:tr>
      <w:tr>
        <w:trPr>
          <w:trHeight w:val="340" w:hRule="exact"/>
        </w:trPr>
        <w:tc>
          <w:tcPr>
            <w:tcW w:w="960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30"/>
          <w:szCs w:val="20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0"/>
          <w:szCs w:val="20"/>
          <w:shd w:fill="auto" w:val="clear"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6720" cy="446405"/>
                <wp:effectExtent l="0" t="0" r="0" b="0"/>
                <wp:wrapSquare wrapText="bothSides"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40" cy="445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84"/>
                              <w:gridCol w:w="2834"/>
                              <w:gridCol w:w="399"/>
                              <w:gridCol w:w="1133"/>
                            </w:tblGrid>
                            <w:tr>
                              <w:trPr/>
                              <w:tc>
                                <w:tcPr>
                                  <w:tcW w:w="284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/ОД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650" w:type="dxa"/>
                                  <w:gridSpan w:val="4"/>
                                  <w:tcBorders/>
                                </w:tcPr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Style21"/>
                                    <w:widowControl w:val="false"/>
                                    <w:spacing w:lineRule="auto" w:line="240" w:before="0" w:after="0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г. Пенза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1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stroked="f" o:allowincell="f" style="position:absolute;margin-left:140.85pt;margin-top:0.35pt;width:233.5pt;height:35.0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651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84"/>
                        <w:gridCol w:w="2834"/>
                        <w:gridCol w:w="399"/>
                        <w:gridCol w:w="1133"/>
                      </w:tblGrid>
                      <w:tr>
                        <w:trPr/>
                        <w:tc>
                          <w:tcPr>
                            <w:tcW w:w="284" w:type="dxa"/>
                            <w:tcBorders/>
                            <w:vAlign w:val="bottom"/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cBorders/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/ОД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650" w:type="dxa"/>
                            <w:gridSpan w:val="4"/>
                            <w:tcBorders/>
                          </w:tcPr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10"/>
                                <w:szCs w:val="20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21"/>
                              <w:widowControl w:val="false"/>
                              <w:spacing w:lineRule="auto" w:line="240" w:before="0" w:after="0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0"/>
                                <w:lang w:eastAsia="ru-RU"/>
                              </w:rPr>
                              <w:t>г. Пенза</w:t>
                            </w:r>
                          </w:p>
                        </w:tc>
                      </w:tr>
                    </w:tbl>
                    <w:p>
                      <w:pPr>
                        <w:pStyle w:val="Style21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«П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 w:bidi="ru-RU"/>
        </w:rPr>
        <w:t>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Cs w:val="28"/>
          <w:shd w:fill="auto" w:val="clear"/>
          <w:lang w:eastAsia="ru-RU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соответствии с Градостроительным кодексом Российской Федерации от 29.12.2004 № 190-ФЗ (с последующими изменениями), Федеральным </w:t>
      </w:r>
      <w:hyperlink r:id="rId3" w:tgtFrame="Федеральный закон от 27.07.2010 N 210-ФЗ (ред. от 30.12.2021) Об организации предоставления государственных и муниципальных услуг">
        <w:r>
          <w:rPr>
            <w:rFonts w:ascii="Times New Roman" w:hAnsi="Times New Roman"/>
            <w:color w:val="000000"/>
            <w:sz w:val="28"/>
            <w:szCs w:val="28"/>
            <w:shd w:fill="auto" w:val="clear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принимая во внимание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Национальный стандарт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 xml:space="preserve"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утвержденный и введенный в действие приказом Федерального агентства по техническому регулированию и метрологии от 22.09.2015 № 1359-ст,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руководствуясь положением о Министерстве жилищно-коммунального хозяйства и гражданск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п р и к а з ы в а ю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:</w:t>
      </w:r>
    </w:p>
    <w:p>
      <w:pPr>
        <w:pStyle w:val="ConsPlusNormal"/>
        <w:ind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1. Утвердить Административный регламент предоставления Министерством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жилищно-коммунального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хозяйства и гражданской защиты населения Пензенской области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государственной услуги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Подготовка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1359-ст.,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 соответствии с приложением к настоящему приказу.</w:t>
      </w:r>
    </w:p>
    <w:p>
      <w:pPr>
        <w:pStyle w:val="ConsPlusNormal"/>
        <w:ind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>
      <w:pPr>
        <w:pStyle w:val="ListParagraph"/>
        <w:widowControl w:val="false"/>
        <w:spacing w:lineRule="auto" w:line="240" w:before="0" w:after="0"/>
        <w:ind w:left="0" w:hanging="0"/>
        <w:contextualSpacing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Министр</w:t>
        <w:tab/>
        <w:tab/>
        <w:tab/>
        <w:t xml:space="preserve">                                                                  М.А. Панюхин</w:t>
      </w:r>
    </w:p>
    <w:p>
      <w:pPr>
        <w:pStyle w:val="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Приложение                                                                                                        </w:t>
      </w:r>
    </w:p>
    <w:p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УТВЕРЖДЕН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Приказом Министерства жилищно-                          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коммунального хозяйства и гражданской          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защиты населения Пензенской области </w:t>
      </w:r>
    </w:p>
    <w:p>
      <w:pPr>
        <w:pStyle w:val="Normal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от _________ № ___/ОД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                        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Административный регламент предоставления Министерством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жилищно - коммунального хозяйства и гражданской защиты населения Пензенской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государственной услуги 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 xml:space="preserve">Подготовка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приказом Федерального агентства по техническому регулированию и метрологии от 22.09.2015 № 1359-ст.»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I. Общие положения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Предмет регулирования регламента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1. Административный регламент предоставления государственной услуги по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одготовке и выдаче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риказом Федерального агентства по техническому регулированию и метрологии от 22.09.2015 № 1359-ст.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(далее - административный регламент, г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осударственная услуга) определяет сроки и последовательность административных процедур (действий) Министерства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жилищно - коммунального хозяйства и гражданской защиты населения Пензенской области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(далее - Министерство) при предоставлении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Круг заявителей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67"/>
      <w:bookmarkEnd w:id="0"/>
      <w:r>
        <w:rPr>
          <w:rFonts w:ascii="Times New Roman" w:hAnsi="Times New Roman"/>
          <w:color w:val="000000"/>
          <w:sz w:val="28"/>
          <w:szCs w:val="28"/>
          <w:shd w:fill="auto" w:val="clear"/>
        </w:rPr>
        <w:t>2. Заявителями при предоставлении государственной услуги являются научно-исследовательские, проектные организации всех форм собственности, осуществляющие разработку документов территориального планирования, а также иные юридические и физические лица - участники градостроительного планирования развития территорий (далее - заявители).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3. От имени заявителей в целях получения государственной услуги могут выступать лица, уполномоченные на получение государственной услуги в соответствии с законодательством Российской Федерации (далее - представители заявителей).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</w:r>
    </w:p>
    <w:p>
      <w:pPr>
        <w:pStyle w:val="1"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1" w:name="bookmark4"/>
      <w:bookmarkStart w:id="2" w:name="bookmark5"/>
      <w:r>
        <w:rPr>
          <w:color w:val="000000"/>
          <w:sz w:val="28"/>
          <w:szCs w:val="28"/>
          <w:shd w:fill="auto" w:val="clear"/>
          <w:lang w:eastAsia="ru-RU" w:bidi="ru-RU"/>
        </w:rPr>
        <w:t>Требования к порядку информирования о предоставлении</w:t>
        <w:br/>
        <w:t>государственной услуги</w:t>
      </w:r>
      <w:bookmarkEnd w:id="1"/>
      <w:bookmarkEnd w:id="2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4. Информация о предоставлении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 (далее - официальный сайт), на портале государственных и муниципальных услуг Пензенской  области (далее - портал услуг), а также на информационных стендах, оборудованных в помещениях Министерства, предназначенных для приема и регистрации запросов.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5. На информационных стендах, оборудованных в помещениях Министерства, предназначенных для приема и регистрации запросов (заявлений) информация размещается в визуальной или текстовой форме и содержит примеры (образцы) заполнения запросов и исчерпывающий перечень документов, необходимых для предоставления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6. На портале услуг, на официальном сайте размещается информация о порядке предоставления государственной услуги, которая содержит: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круг заявителей;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в) срок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результаты предоставления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д) исчерпывающий перечень оснований для приостановления или отказа в предоставлении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ж) формы запроса, используемого при предоставлении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8. Информация о предоставлении государственной услуги предоставляется бесплатно.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II.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  <w:t>Стандарт предоставления государственной услуги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3" w:name="bookmark7"/>
      <w:bookmarkStart w:id="4" w:name="bookmark6"/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Наименование государственной услуги</w:t>
      </w:r>
      <w:bookmarkEnd w:id="3"/>
      <w:bookmarkEnd w:id="4"/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9.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раздела «Перечень мероприятий по гражданской обороне, мероприятий по предупреждению чрезвычайных ситуаций природного и техногенного характера» документации по обоснованию проекта планировки территории (далее - исходные данные по ГОЧС), в соответствии с требованиями Национального стандарта Российской Федерации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ГОСТ Р 22.2.01-2015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территорий», утвержденного и введенного в действие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риказом Федерального агентства по техническому регулированию и метрологии от 22.09.2015 № 1359-ст. (далее - Национальный стандарт)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5" w:name="bookmark8"/>
      <w:bookmarkStart w:id="6" w:name="bookmark9"/>
      <w:r>
        <w:rPr>
          <w:color w:val="000000"/>
          <w:sz w:val="28"/>
          <w:szCs w:val="28"/>
          <w:shd w:fill="auto" w:val="clear"/>
          <w:lang w:eastAsia="ru-RU" w:bidi="ru-RU"/>
        </w:rPr>
        <w:t>Наименование органа, предоставляющего государственную услугу</w:t>
      </w:r>
      <w:bookmarkEnd w:id="5"/>
      <w:bookmarkEnd w:id="6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10. Предоставление государственной услуги осуществляется Министерством.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11. Подача запросов о предоставлении государственной услуги через многофункциональные центры по оказанию государственных и муниципальных услуг (далее - МФЦ) не предусмотрена.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7" w:name="bookmark10"/>
      <w:bookmarkStart w:id="8" w:name="bookmark11"/>
      <w:r>
        <w:rPr>
          <w:color w:val="000000"/>
          <w:sz w:val="28"/>
          <w:szCs w:val="28"/>
          <w:shd w:fill="auto" w:val="clear"/>
          <w:lang w:eastAsia="ru-RU" w:bidi="ru-RU"/>
        </w:rPr>
        <w:t>Описание результата предоставления государственной услуги</w:t>
      </w:r>
      <w:bookmarkEnd w:id="7"/>
      <w:bookmarkEnd w:id="8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</w:rPr>
        <w:t>Результатом предоставления государственной услуги является выдача (направление) заявителю (представителю заявителя):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подписанных Министром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жилищно - коммунального хозяйства и гражданской защиты населения Пензенской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(лицом, исполняющим его обязанности) (далее - Министр) исходных данных по ГОЧС, оформленных по </w:t>
      </w:r>
      <w:hyperlink w:anchor="P699" w:tgtFrame=" Форма представления">
        <w:r>
          <w:rPr>
            <w:rFonts w:ascii="Times New Roman" w:hAnsi="Times New Roman"/>
            <w:color w:val="000000"/>
            <w:sz w:val="28"/>
            <w:szCs w:val="28"/>
          </w:rPr>
          <w:t>форме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приложению № 2 к </w:t>
      </w:r>
      <w:r>
        <w:rPr>
          <w:rFonts w:ascii="Times New Roman" w:hAnsi="Times New Roman"/>
          <w:color w:val="000000"/>
          <w:sz w:val="28"/>
          <w:szCs w:val="28"/>
        </w:rPr>
        <w:t>настоящему административному регламенту;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уведомления об отказе в предоставлении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осуществляется специалистом Министерства в течение 1 рабочего дня с даты его регистрации лично заявителю (представителю заявителя), либо способом, указанным в запросе - почтовым отправлением и (или) в электронном виде на адрес электронной почты заявителя.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Срок предоставления государственной услуги, в том числе с учетом</w:t>
        <w:br/>
        <w:t>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>
      <w:pPr>
        <w:pStyle w:val="ConsPlusNormal"/>
        <w:spacing w:before="57" w:after="57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14. Максимальный срок предоставления государственной услуги составляет 30 календарных дней, начиная со дня регистрации запроса, документов и (или) информации, необходимых для предоставления государственной услуги в Министерстве, в том числе в случае, если запрос и документы и (или) информация, необходимые для предоставления государственной услуги, направлены заявителем посредством почтового отправления в Министерство.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5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Нормативные правовые акты Российской Федерации, нормативные</w:t>
        <w:br/>
        <w:t>правовые акты Пензенской области, регулирующие предоставление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15. Деятельность по предоставлению государственной услуги регулируется нормативными правовыми актами Российской Федерации и нормативными правовыми актами Пензенской области, информация о которых размещается на официальном сайте, портале услуг и на информационных стендах, оборудованных в помещениях, предназначенных для приема и регистрации запросов.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Исчерпывающий перечень документов, необходимых в соответствии</w:t>
        <w:br/>
        <w:t>с нормативными правовыми актами Российской Федерации,</w:t>
        <w:br/>
        <w:t>нормативными правовыми актами Пензенской области</w:t>
        <w:br/>
        <w:t>для предоставления государственной услуги и услуг, которые являются</w:t>
        <w:br/>
        <w:t>необходимыми и обязательными для предоставления государственной</w:t>
        <w:br/>
        <w:t>услуги, подлежащих представлению заявителем, способы их получения</w:t>
        <w:br/>
        <w:t>заявителем, в том числе в электронной форме, порядок их представления</w:t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16. Для предоставления государственной услуги заявитель (представитель заявителя) предоставляет в Министерство запрос на выдачу исходных данных по ГОЧС по форме согласно приложению № 1 к настоящему административному регламенту.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подачи документов, необходимых для предоставления государственной услуги: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обращение в Министерство;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почтового отправления в Министерство;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форме электронного документа на адрес электронной почты  Министерства с использованием простой электронной подписи.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Полномочия представителя заявителя должны быть подтверждены оформленной в соответствии с требованиями действующего законодательства доверенностью, приказами о назначении должностных лиц в отношении должностных лиц организаций, копией паспорта для заявителей - физических лиц или индивидуальных предпринимателей и договорами, заключенными в целях получения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 В запросе о выдаче исходных данных по ГОЧС должны быть указаны: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полное наименование объекта территориального планирования;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заказчик разработки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 w:bidi="ru-RU"/>
        </w:rPr>
        <w:t>раздела «Перечень мероприятий по гражданской обороне, мероприятий по предупреждению чрезвычайных ситуаций природного и техногенного характера» (далее - ПМ ГОЧС) документации по обоснованию проекта планировки территории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основания и намечаемые сроки разработки документации по планировке территории;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место расположения объекта планировки территории;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 основные характеристики объекта планировки территории: по населению, промышленной или сельскохозяйственной специализации, энергопотреблению, водопотреблению, источникам электро-, тепло-, газо- и водоснабжения, транспортным коммуникациям, инженерным сетям, имеющимся потенциально опасным и вредным объектам, опасным природным процессам (с указанием видов воздействия и поражающих факторов);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 группы поселений (муниципальных районов, городских округов) по гражданской обороне, наличие отнесенных к категориям по гражданской обороне организаций (в том случае, если они определены в установленном порядке и известны заказчику);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ж) численность: наибольших работающих смен на объектах, продолжающих работу в военное время; дежурного и линейного персонала, обеспечивающего жизнедеятельность отнесенных к группам по гражданской обороне поселений (муниципальных районов, городских округов) и организаций особой важности; населения, подлежащего эвакуации, рассредоточению; населения, прибывающего по эвакомероприятиям;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з) наличие существующих защитных сооружений гражданской обороны (сооружений двойного назначения) и характер их использования в мирное время, обеспеченность защитными сооружениями различных категорий укрываемых.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 Запрос составляется в единственном экземпляре-подлиннике в отношении одного объекта территориального планирования.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 на бумажном носителе оформляется на стандартных листах формата А4.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Допускается оформление запроса на бланке юридического лица-застройщика с отражением всех реквизитов.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Запрос о выдаче исходных данных по ГОЧС представляется в Министерство на бумажном носителе лично заявителем (представителем заявителя), либо направляется заказным письмом с уведомлением о вручении, либо представляется в форме электронного документа посредством электронной почты.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К запросу прилагаются следующие документы,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необходимые для предоставления государственной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(далее - необходимые документы)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копия задания на проектирование;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схема планируемого размещения проектируемого района, на которой должны быть указаны:</w:t>
      </w:r>
    </w:p>
    <w:p>
      <w:pPr>
        <w:pStyle w:val="ConsPlusNormal"/>
        <w:bidi w:val="0"/>
        <w:spacing w:before="0" w:after="0"/>
        <w:ind w:left="0" w:right="0"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положение проектируемого района по отношению к основным элементам планировочной структуры поселения, его существующие и проектные границы;</w:t>
      </w:r>
    </w:p>
    <w:p>
      <w:pPr>
        <w:pStyle w:val="ConsPlusNormal"/>
        <w:bidi w:val="0"/>
        <w:spacing w:before="0" w:after="0"/>
        <w:ind w:left="0" w:right="0"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границы предусмотренных зон возможной опасности, загородной зоны;</w:t>
      </w:r>
    </w:p>
    <w:p>
      <w:pPr>
        <w:pStyle w:val="ConsPlusNormal"/>
        <w:bidi w:val="0"/>
        <w:spacing w:before="0" w:after="0"/>
        <w:ind w:left="0"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дорожно-транспортная сеть; </w:t>
      </w:r>
    </w:p>
    <w:p>
      <w:pPr>
        <w:pStyle w:val="ConsPlusNormal"/>
        <w:bidi w:val="0"/>
        <w:spacing w:before="0" w:after="0"/>
        <w:ind w:left="0"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опасные производственные объекты, гидротехнические сооружения, радиационно опасные объекты;</w:t>
      </w:r>
    </w:p>
    <w:p>
      <w:pPr>
        <w:pStyle w:val="ConsPlusNormal"/>
        <w:bidi w:val="0"/>
        <w:spacing w:before="0" w:after="0"/>
        <w:ind w:left="0" w:right="0"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лесные массивы, насаждения всех видов, акватории, зоны и места длительного и сезонного отдыха;</w:t>
      </w:r>
    </w:p>
    <w:p>
      <w:pPr>
        <w:pStyle w:val="ConsPlusNormal"/>
        <w:bidi w:val="0"/>
        <w:spacing w:before="0" w:after="0"/>
        <w:ind w:left="0" w:righ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перечень планируемых к строительству на территории проектируемого района  объектов капитального строительства, в том числе объектов использования атомной энергии (ядерных установок, пунктов хранения ядерных материалов и радиоактивных веществ), опасных производственных объектов, особо опасных, технически сложных, уникальных объектов, объектов обороны и безопасности.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Документы, указанные в настоящем пункте, представляются в одном экземпляре (в подлиннике или надлежащим образом заверенных заявителем копиях) на бумажном носителе либо в форме электронного документа.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 При направлении запроса с приложением необходимых документов в Министерство в форме электронного документа посредством электронной почты, документы оформляются с использованием электронной подписи с учетом требований пункта 48 настоящего административного регламента.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Документы, содержащие сведения составляющие государственную тайну или информацию ограниченного распространения должны иметь соответствующий гриф.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Запрещается требовать от заявителя: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услуг» (далее - Федеральный закон № 210-ФЗ). Заявитель вправе представить вышеуказанные документы и информацию в Министерство по собственной инициативе;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 № 210-ФЗ, и получения документов и информации, предоставляемых в результате предоставления таких услуг;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о предоставлении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наличие ошибок в запросе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специалиста Министерства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Исчерпывающий перечень документов, необходимых в соответствии</w:t>
        <w:br/>
        <w:t>с нормативными правовыми актами Российской Федерации,</w:t>
        <w:br/>
        <w:t>нормативными правовыми актами Пензенской области</w:t>
        <w:br/>
        <w:t>для предоставления государственной услуги, которые находятся</w:t>
        <w:br/>
        <w:t>в распоряжении исполнительных органов Пензенской области, органов местного самоуправления муниципальных образований Пензенской области (далее - ОМСУ)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23. Документы, необходимые в соответствии с нормативными правовыми актами Российской Федерации и нормативными правовыми актами Пензенской области для предоставления государственной услуги, которые находятся в распоряжении государственных органов, ОМСУ и иных органов, участвующих в предоставлении государственной услуги,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zh-CN"/>
        </w:rPr>
        <w:t>отсутствуют.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9" w:name="bookmark12"/>
      <w:bookmarkStart w:id="10" w:name="bookmark13"/>
      <w:r>
        <w:rPr>
          <w:color w:val="000000"/>
          <w:sz w:val="28"/>
          <w:szCs w:val="28"/>
          <w:shd w:fill="auto" w:val="clear"/>
          <w:lang w:eastAsia="ru-RU" w:bidi="ru-RU"/>
        </w:rPr>
        <w:t>Исчерпывающий перечень оснований для отказа в приеме документов,</w:t>
        <w:br/>
        <w:t>необходимых для предоставления государственной услуги</w:t>
      </w:r>
      <w:bookmarkEnd w:id="9"/>
      <w:bookmarkEnd w:id="10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24 Исчерпывающий перечень оснований для отказа в приеме  необходимых документов: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в) представленные документы утратили силу или являются недействительными на момент обращения;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запрос в форме электронного документа подан с нарушением установленных законодательством Российской Федерации требований;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д) заявление подано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е) не соблюдены установленные статьей 11 Федерального закона от 06.04.2011 № 63-ФЗ «Об электронной подписи» условия признания действительности квалифицированной электронной подписи.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11" w:name="bookmark14"/>
      <w:bookmarkStart w:id="12" w:name="bookmark15"/>
      <w:r>
        <w:rPr>
          <w:color w:val="000000"/>
          <w:sz w:val="28"/>
          <w:szCs w:val="28"/>
          <w:shd w:fill="auto" w:val="clear"/>
          <w:lang w:eastAsia="ru-RU" w:bidi="ru-RU"/>
        </w:rPr>
        <w:t>Исчерпывающий перечень оснований для приостановления</w:t>
        <w:br/>
        <w:t>или отказа в предоставлении государственной услуги</w:t>
      </w:r>
      <w:bookmarkEnd w:id="11"/>
      <w:bookmarkEnd w:id="12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25.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Оснований для приостановления предоставления государственной услуги заявителю не предусмотрены.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26. Исчерпывающий перечень оснований для отказа в предоставлении государственной услуги: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несоответствие запроса на выдачу исходных данных по ГОЧС требованиям пункта 18  настоящего административного регламента;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представление в Министерство не в полном объеме документов, предусмотренных пунктом 20 настоящего административного регламента, либо их несоответствие требованиям Национального стандарта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 Отказ от предоставления государственной услуги не препятствует повторному обращению заявителя в Министерство за предоставлением государственной услуги после устранения причин отказа, указанных в пункте 26 настоящего административного регламента.</w:t>
      </w:r>
    </w:p>
    <w:p>
      <w:pPr>
        <w:pStyle w:val="ConsPlusNormal"/>
        <w:tabs>
          <w:tab w:val="clear" w:pos="708"/>
          <w:tab w:val="left" w:pos="1065" w:leader="none"/>
        </w:tabs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shd w:fill="auto" w:val="clear"/>
          <w:lang w:bidi="ru-RU"/>
        </w:rPr>
        <w:t>28.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Перечень услуг, которые являются необходимыми и обязательными</w:t>
        <w:br/>
        <w:t>для предоставления государственной услуги, в том числе сведения</w:t>
        <w:br/>
        <w:t>о документе (документах), выдаваемом (выдаваемых) организациями,</w:t>
        <w:br/>
        <w:t>участвующими в предоставлении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29. 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13" w:name="bookmark16"/>
      <w:bookmarkStart w:id="14" w:name="bookmark17"/>
      <w:r>
        <w:rPr>
          <w:color w:val="000000"/>
          <w:sz w:val="28"/>
          <w:szCs w:val="28"/>
          <w:shd w:fill="auto" w:val="clear"/>
          <w:lang w:eastAsia="ru-RU" w:bidi="ru-RU"/>
        </w:rPr>
        <w:t>Порядок, размер и основания взимания государственной пошлины</w:t>
        <w:br/>
        <w:t>или иной платы, взимаемой за предоставление государственной услуги</w:t>
      </w:r>
      <w:bookmarkEnd w:id="13"/>
      <w:bookmarkEnd w:id="14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30. За предоставление государственной услуги государственная пошлина или иная плата не взимается.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Максимальный срок ожидания в очереди при подаче запроса</w:t>
        <w:br/>
        <w:t>о предоставлении государственной услуги, услуги, предоставляемой</w:t>
        <w:br/>
        <w:t>организацией, участвующей в предоставлении государственной услуги,</w:t>
        <w:br/>
        <w:t>и при получении результата 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31. Максимальный срок ожидания в очереди при подаче документов, указанных в пунктах 16-20 настоящего административного регламента и при получении результата предоставления государственной услуги составляет не более 10 минут.</w:t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Срок и порядок регистрации запроса заявителя о предоставлении</w:t>
        <w:br/>
        <w:t>государственной услуги и услуги, предоставляемой организацией,</w:t>
        <w:br/>
        <w:t>участвующей в предоставлении государственной услуги,</w:t>
        <w:br/>
        <w:t>в том числе в электронной форме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32. Запрос и необходимые документы подаются заявителями непосредственно в Министерство.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33. Запрос регистрируется специалистом, ответственным за регистрацию документов, в день его поступления в Министерство, в том числе в электронном виде.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34. Специалист Министерства, ответственный за делопроизводство, осуществляет прием и регистрацию запроса в порядке, установленном соответствующими актами по делопроизводству.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Требования к помещениям, в которых предоставляется государственная</w:t>
        <w:br/>
        <w:t>услуга, к залу ожидания, местам для заполнения заявления,</w:t>
        <w:br/>
        <w:t>информационным стендам с образцами их заполнения и перечнем</w:t>
        <w:br/>
        <w:t>документов, необходимых для предоставления государственной услуги,</w:t>
        <w:br/>
        <w:t>размещению и оформлению визуальной, текстовой и мультимедийной</w:t>
        <w:br/>
        <w:t>информации о порядке предоставления такой услуги, в том числе</w:t>
        <w:br/>
        <w:t>к обеспечению доступности для инвалидов указанных объектов</w:t>
        <w:br/>
        <w:t>в соответствии с законодательством Российской Федерации</w:t>
        <w:br/>
        <w:t>о социальной защите инвалидов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35. Вход в здание оборудуется вывеской с наименованием 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36. На территории, прилегающей к месторасположению Министерства, оборудуются места для парковки автотранспортных средств.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37. В помещениях Министерства устанавливаются информационные стенды, на которых размещается следующая информация: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описание результата предоставления государственной услуги;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информация о порядке предоставления государственной услуги (в текстовом и/или схематическом виде);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образец запроса о предоставлении государственной услуги;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перечень необходимых документов;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справочные телефоны и график работы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38. Прием заявителей осуществляется в кабинете управления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контрольной деятельности, гражданской защиты населения и пожарной безопасности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Кабинет оборудуется информационными табличками (вывесками) с указанием: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номера кабинета;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фамилии и инициалов специалиста, осуществляющего прием.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Место для приема заявителя снабжается стулом, писчей бумагой и канцелярскими принадлежностями.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Помещение для ожидания и приема заявителей оборудуется в соответствии с санитарными правилами и нормами.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Одним специалистом одновременно ведется прием только одного заявителя.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39.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1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40. Требования к обеспечению доступности для инвалидов.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6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624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51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>
      <w:pPr>
        <w:pStyle w:val="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  <w:bookmarkStart w:id="15" w:name="_GoBack2"/>
      <w:bookmarkEnd w:id="15"/>
    </w:p>
    <w:p>
      <w:pPr>
        <w:pStyle w:val="Style16"/>
        <w:widowControl w:val="false"/>
        <w:numPr>
          <w:ilvl w:val="0"/>
          <w:numId w:val="0"/>
        </w:numPr>
        <w:spacing w:before="0" w:after="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 xml:space="preserve">Показатели доступности и качества государственной услуги </w:t>
        <w:br/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41. Показатели доступности государственной услуги: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возможность получения государственной услуги своевременно в соответствии с настоящим административным регламентом;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доступность обращения за предоставлением государственной услуги, в том числе лицами с ограниченными физическими возможностями;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возможность получения государственной услуги в электронной форме с использованием Федеральной государственной информационной системы «Единый портал государственных и муниципальных услуг», портала услуг;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д) возможность подачи в МФЦ заявления и документов, необходимых для предоставления государственной услуги;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е) возможность досудебного рассмотрения жалоб заявителей на решения, действия (бездействие) должностных лиц Министерства, ОМСУ,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МФЦ.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42. Получение государственной услуги посредством обращения в МФЦ не предусмотрено.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43. Государственная услуга с использованием Федеральной государственной информационной системы «Единый портал государственных и муниципальных услуг» и портала услуг не предоставляется.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44. Показателем качества государственной услуги является предоставление государственной услуги в соответствии с настоящим административным регламентом.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45. Взаимодействие заявителя с должностными лицами Министерства при предоставлении государственной услуги осуществляется при подаче запроса, при информировании о ходе предоставления государственной услуги и при получении результата предоставления государственной услуги и устанавливается в соответствии с требованиями к стандарту предоставления государственной услуги, утвержденными Федеральным законом № 210-ФЗ.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>Взаимодействие осуществляется лично, по телефону, с использованием информационно-телекоммуникационных сетей.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Продолжительность личного взаимодействия заявителя с должностными лицами Министерства составляет не более 30 минут, по телефону - не более 10 минут.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46.  Заявителям обеспечивается возможность получения информации о порядке предоставления государственной услуги на портале услуг.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47.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spacing w:before="0" w:after="32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Иные требования, в том числе учитывающие особенности</w:t>
        <w:br/>
        <w:t>предоставления государственной услуги в электронной форме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48.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Запрос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spacing w:before="228" w:after="228"/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III.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  <w:t>Состав, последовательность и сроки выполнения административных</w:t>
        <w:br/>
        <w:t>процедур (действий), требования к порядку их выполнения, в том числе</w:t>
        <w:br/>
        <w:t>особенности выполнения административных процедур (действий)</w:t>
        <w:br/>
        <w:t>в электронной форме,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16" w:name="bookmark19"/>
      <w:bookmarkStart w:id="17" w:name="bookmark18"/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Исчерпывающий перечень административных процедур</w:t>
      </w:r>
      <w:bookmarkEnd w:id="16"/>
      <w:bookmarkEnd w:id="17"/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49. Предоставление государственной услуги включает в себя следующие административные процедуры (действия):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а) прием и регистрация запроса и необходимых документов;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рассмотрение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запроса </w:t>
      </w:r>
      <w:r>
        <w:rPr>
          <w:rFonts w:ascii="Times New Roman" w:hAnsi="Times New Roman"/>
          <w:sz w:val="28"/>
          <w:szCs w:val="28"/>
        </w:rPr>
        <w:t>и необходимых документов;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выдача (направление) исходных данных по ГОЧС или направление уведомления об отказе в предоставлении государственной услуги;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г)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keepNext w:val="true"/>
        <w:keepLines/>
        <w:numPr>
          <w:ilvl w:val="0"/>
          <w:numId w:val="0"/>
        </w:numPr>
        <w:shd w:val="clear" w:color="auto" w:fill="auto"/>
        <w:ind w:left="0" w:firstLine="540"/>
        <w:jc w:val="center"/>
        <w:outlineLvl w:val="2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</w:t>
      </w:r>
      <w:bookmarkStart w:id="18" w:name="bookmark20"/>
      <w:bookmarkStart w:id="19" w:name="bookmark21"/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рием и регистрация запроса и необходимых документов</w:t>
      </w:r>
      <w:bookmarkEnd w:id="18"/>
      <w:bookmarkEnd w:id="19"/>
    </w:p>
    <w:p>
      <w:pPr>
        <w:pStyle w:val="ConsPlusNormal"/>
        <w:numPr>
          <w:ilvl w:val="0"/>
          <w:numId w:val="0"/>
        </w:numPr>
        <w:shd w:val="clear" w:color="auto" w:fill="auto"/>
        <w:ind w:left="0" w:firstLine="540"/>
        <w:jc w:val="both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50. Основанием для начала выполнения административной процедуры (действий) является обращение заявителя в Министерство  с заполненным в соответствии с приложением № 1 к настоящему административному регламенту запросом с приложением необходимых документов.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51. Специалист Министерства, ответственный за делопроизводство, осуществляет прием запроса и необходимых документов и их регистрацию в день получения (с присвоением регистрационного номера, указанием даты и времени поступления в Министерство путем ведения специальной электронной базы данных) и направляет для рассмотрения Министру либо лицу, его замещающему.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Датой представления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запроса </w:t>
      </w:r>
      <w:r>
        <w:rPr>
          <w:rFonts w:ascii="Times New Roman" w:hAnsi="Times New Roman"/>
          <w:sz w:val="28"/>
          <w:szCs w:val="28"/>
        </w:rPr>
        <w:t>о выдаче исходных данных по ГОЧС считается: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представления непосредственно в Министерство - дата регистрации запроса;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случае представления в форме электронного документа - дата регистрации запроса в системе электронного документооборота Министерства.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Зарегистрированные документы в течение 1 рабочего дня с даты их регистрации передаются исполнителю, назначенному из числа специалистов Министерства (далее - исполнитель), для рассмотрения.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52. Министерство принимает решение об отказе в приеме документов с мотивированным обоснованием причин отказа в соответствии с пунктом 24 настоящего административного регламента.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737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53. Результатами административной процедуры (действий) являются: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а) регистрация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запроса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б) отказ в приеме документов.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0" w:right="0" w:firstLine="68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54. Уведомление заявителя об отказе в приеме документов или о регистрации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запроса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осуществляется в ходе очного приема (при личном обращении заявителя), на почтовый адрес или на адрес электронной почты, указанный в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>запросе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9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bidi="ru-RU"/>
        </w:rPr>
        <w:t xml:space="preserve">55.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zh-CN" w:bidi="ru-RU"/>
        </w:rPr>
        <w:t xml:space="preserve"> Результатом выполнения административной процедуры является регистрация в установленном порядке представленных заявителем запроса и прилагаемых необходимых документов и передача их исполнителю.</w:t>
      </w:r>
    </w:p>
    <w:p>
      <w:pPr>
        <w:pStyle w:val="ConsPlusNormal"/>
        <w:numPr>
          <w:ilvl w:val="0"/>
          <w:numId w:val="0"/>
        </w:numPr>
        <w:spacing w:before="200" w:after="0"/>
        <w:ind w:left="0" w:firstLine="54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Рассмотрение запроса и необходимых документов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56. Основанием для начала административной процедуры является завершение предыдущей административной процедуры.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57. Исполнитель в течение 1 рабочего</w:t>
      </w:r>
      <w:r>
        <w:rPr>
          <w:rFonts w:ascii="Times New Roman" w:hAnsi="Times New Roman"/>
          <w:color w:val="000000"/>
          <w:sz w:val="28"/>
          <w:szCs w:val="28"/>
        </w:rPr>
        <w:t xml:space="preserve"> дня с момента получения запроса  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необходимых</w:t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документов проверяет полноту и соответствие представленных документов требованиям, указанным в пунктах 18 - 20 настоящего административного регламента.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58. При наличии оснований, предусмотренных пунктом 24 настоящего административного регламента, Министерство в срок не позднее 3 календарных дней с момента передачи документов исполнителю направляет заявителю заказным почтовым отправлением с обратным уведомлением или по электронной почте (в случае, если такой вид связи выбран заявителем в качестве предпочтительного) уведомление о необходимости устранения замечаний и предоставления недостающих и (или) доработанных с учетом замечаний документов в Министерство.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предоставления таких документов составляет 5 календарных дней со дня поступления уведомления заявителю. Если по истечении указанного срока заявитель не устранил указанные недостатки, Министерство  принимает решение об отказе заявителю в предоставлении государственной услуги.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59. При наличии полного пакета документов, предусмотренных пунктами 16 - 20 настоящего регламента и их соответствия требованиям Национального стандарта исполнитель в течение 10 календарных дней рассматривает представленные материалы и готовит исходные данные по ГОЧС по форме согласно приложению № 2 к настоящему административному регламенту. Документ составляется на бланке Министерства</w:t>
      </w:r>
      <w:r>
        <w:rPr>
          <w:rFonts w:ascii="Times New Roman" w:hAnsi="Times New Roman"/>
          <w:color w:val="000000"/>
          <w:sz w:val="28"/>
          <w:szCs w:val="28"/>
        </w:rPr>
        <w:t>. Подлинник составленного документа выдается (направляется) заявителю, копия остается на хранении в соответствующем структурном подразделении Министерства.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60. Результатом административной процедуры является подготовка заявителю (представителю заявителя) исходных данных по ГОЧС либо уведомления об отказе заявителю (представителю заявителя) в предоставлении государственной услуги.</w:t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before="200" w:after="0"/>
        <w:ind w:left="0" w:right="0" w:firstLine="113"/>
        <w:jc w:val="center"/>
        <w:outlineLvl w:val="2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Выдача (направление) исходных данных по ГОЧС или направление уведомления об отказе в предоставлении государственной услуги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61. По окончании предыдущей административной процедуры Министр (лицо, исполняющее его обязанности) в течение 3 календарных дней с даты подготовки исходных данных по ГОЧС исполнителем подписывает их.</w:t>
      </w:r>
    </w:p>
    <w:p>
      <w:pPr>
        <w:pStyle w:val="ConsPlusNormal"/>
        <w:spacing w:before="0" w:after="0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62. В случае несоответствия документов требованиям, указанным в пунктах 18 - 20 настоящего административного регламента, исполнитель в срок не позднее 2 календарных дней со дня принятия решения о несоответствии представленных документов готовит уведомление об отказе в предоставлении государственной услуги.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63. Министр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 (лицо, исполняющее его обязанности) в течение 1 календарного дня с даты подготовки уведомления об отказе в предоставлении государственной услуги подписывает его.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64. В течение 1 рабочего дня с момента подписания Министром (лицом, исполняющим его обязанности) исходных данных по ГОЧС либо уведомления об отказе в предоставлении государственной услуги делопроизводителем осуществляется регистрация указанных документов.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65.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осуществляются исполнителем в течение 1 календарного дня с даты его регистрации способом, указанным в запросе - почтовым отправлением и (или) в электронном виде на адрес электронной почты заявителя.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66. При выдаче (направлении) исходных данных по ГОЧС либо выдаче (направлении) уведомления об отказе в предоставлении государственной услуги в форме электронного документа, то он оформляется с использованием электронной подписи в соответствии с требованиями федерального законодательства.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67. Результатом выполнения административной процедуры является выдача (направление) исходных данных по ГОЧС либо выдача (направление) уведомления об отказе в предоставлении государственной услуги.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Исправление допущенных опечаток и (или) ошибок в выданных в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результате предоставления государственной услуги документах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68. В случае обращения заявителя в Министерство с заявлением об исправлении опечатки и (или) ошибки (описки, опечатки, грамматической или арифметической ошибки) в документах, выданных заявителю, заявитель представляет документы, свидетельствующие о наличии технической ошибки и содержащие правильные данные.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Заявление об исправлении технической ошибки и приложенные к нему документы подаются заявителем в Министерство следующими способами: 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личного обращения заявителя (его представителя);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Специалист Министерства, ответственный за делопроизводство, осуществляет прием заявления об исправлении технической ошибки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Министр, либо лицо его замещающее по результатам рассмотрения заявления об исправлении технической ошибки и приложенных к нему документов направляет их исполнителю.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Исполнитель, в срок до 2 рабочих дней с момента регистрации заявления об исправлении технической ошибки осуществляет его проверку и в случае подтверждения наличия технической ошибки устраняет ее либо готовит решение об отказе в исправлении технической ошибки.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shd w:fill="auto" w:val="clear"/>
          <w:lang w:bidi="ru-RU"/>
        </w:rPr>
        <w:t>72. Срок выдачи документов с исправленными техническими ошибками либо об отказе в исправлении технической ошибки не может превышать 5 рабочих дней с момента регистрации заявления об исправлении технической ошибки в Министерстве.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  <w:shd w:fill="auto" w:val="clear"/>
          <w:lang w:bidi="ru-RU"/>
        </w:rPr>
        <w:t>73. Результатом выполнения административной процедуры является выдача (направление) заявителю документов с исправленными техническими ошибками либо решения об отказе в исправлении технической ошибки.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IV. Формы контроля за исполнением настоящего Регламента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spacing w:before="0" w:after="22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Порядок осуществления текущего контроля за соблюдением</w:t>
        <w:br/>
        <w:t>и исполнением ответственными должностными лицами положений</w:t>
        <w:br/>
        <w:t>настоящего административного регламента и иных нормативных правовых актов Российской Федерации, нормативных правовых актов Пензенской области, устанавливающих требования к предоставлению государственной услуги, а также принятием ими решений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74. Текущий контроль за соблюдением и исполнением должностными лицами Министерства (далее - должностные лица) положений настоящего административного регламента, иных нормативных правовых актов Российской Федерации, нормативных правовых актов Пензенской области, устанавливающих требования к предоставлению государственной услуги, осуществляется руководством Министерства.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Текущий контроль за предоставлением должностными лицами Министерства государственной услуги осуществляется на постоянной основе.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Порядок и периодичность осуществления плановых и внеплановых</w:t>
        <w:br/>
        <w:t>проверок полноты и качества предоставления государственной услуги,</w:t>
        <w:br/>
        <w:t>в том числе порядок и формы контроля за полнотой и качеством</w:t>
        <w:br/>
        <w:t>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75. В целях осуществления контроля за соблюдением и исполнением должностными лицами положений настоящего административного регламента, иных нормативных правовых актов Российской Федерации, нормативных правовых актов Пензенской области, устанавливающих требования к предоставлению государственной услуги, Министр может проводить проверки полноты и качества предоставления государственной услуги (далее - проверки) на основании соответствующих актов.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Периодичность осуществления текущего контроля за исполнением настоящего административного регламента устанавливается Министром.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 проверке могут рассматриваться все вопросы, связанные с предоставлением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Проверки проводятся с целью выявления и устранения нарушений при предоставлении государственной услуги.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Ответственность должностных лиц Министерства за решения</w:t>
        <w:br/>
        <w:t>и действия (бездействие), принимаемые (осуществляемые) ими в ходе</w:t>
        <w:br/>
        <w:t>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76. Должностные лица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Должностные лица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77. Должностные лица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Требования к порядку и формам контроля за предоставлением</w:t>
        <w:br/>
        <w:t>государственной услуги, в том числе со стороны граждан,</w:t>
        <w:br/>
        <w:t>их объединений и организаций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78. Министерство осуществляют постоянный контроль за предоставлением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Министерством осуществляется анализ результатов проведенных проверок, на основании которого принимаются необходимые меры по устранению недостатков в организации предоставления государственной услуги.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79. Контроль за предоставлением государственной услуги со стороны граждан (объединений, организаций) осуществляется посредством получения полной, актуальной и достоверной информации о деятельности Министерства при предоставлении государственной услуги, рассмотрении обращений (жалоб) и при обжаловании решений действий (бездействия) должностных лиц в процессе получения государственной услуги.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20" w:name="P524"/>
      <w:bookmarkEnd w:id="20"/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V. Досудебный (внесудебный) порядок обжалования заявителем решений и действий (бездействия) Министерства, должностных лиц Министерства при предоставлии государственной услуги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spacing w:before="0" w:after="220"/>
        <w:jc w:val="center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Информация для заявителя об его праве</w:t>
        <w:br/>
        <w:t>на досудебное (внесудебное) обжалование действий (бездействия)</w:t>
        <w:br/>
        <w:t>и (или) решений, принятых (осуществленных) в ходе</w:t>
        <w:br/>
        <w:t>предоставления государственной услуги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80. Заявитель имеют право на досудебное (внесудебное) обжалование действий (бездействия) и (или) решений Министерства и его должностных лиц, принятых (осуществленных) в ходе предоставления государственной услуги, в порядке, предусмотренном главой 2.1 Федерального закона № 210-ФЗ.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Жалоба подается заявителем в письменной форме на бумажном носителе или в форме электронного документа.  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Исполнительные органы Пензенской области, 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  <w:t>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highlight w:val="none"/>
          <w:shd w:fill="auto" w:val="clear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shd w:fill="auto" w:val="clear"/>
          <w:lang w:bidi="ru-RU"/>
        </w:rPr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81. Жалоба на действия (бездействие) и (или) решения должностного лица Министерства (далее - жалоба) рассматривается Министром или должностным лицом органа, уполномоченным на рассмотрение жалоб.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Жалоба на действия (бездействие) и (или) решения Министра  рассматривается непосредственно должностным лицом Правительства Пензенской области, уполномоченным на рассмотрение жалоб.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1"/>
        <w:keepNext w:val="true"/>
        <w:keepLines/>
        <w:numPr>
          <w:ilvl w:val="0"/>
          <w:numId w:val="0"/>
        </w:numPr>
        <w:shd w:val="clear" w:color="auto" w:fill="auto"/>
        <w:ind w:left="0" w:hanging="0"/>
        <w:outlineLvl w:val="2"/>
        <w:rPr>
          <w:color w:val="000000"/>
          <w:highlight w:val="none"/>
          <w:shd w:fill="auto" w:val="clear"/>
        </w:rPr>
      </w:pPr>
      <w:bookmarkStart w:id="21" w:name="bookmark34"/>
      <w:bookmarkStart w:id="22" w:name="bookmark35"/>
      <w:r>
        <w:rPr>
          <w:color w:val="000000"/>
          <w:sz w:val="28"/>
          <w:szCs w:val="28"/>
          <w:shd w:fill="auto" w:val="clear"/>
          <w:lang w:eastAsia="ru-RU" w:bidi="ru-RU"/>
        </w:rPr>
        <w:t>Способы информирования заявителей о порядке подачи и рассмотрения</w:t>
        <w:br/>
        <w:t>жалобы, в том числе с использованием Единого портала</w:t>
      </w:r>
      <w:bookmarkEnd w:id="21"/>
      <w:bookmarkEnd w:id="22"/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82. Информация о порядке подачи и рассмотрения жалобы размещается на информационных стендах в местах предоставления государственной услуги, на официальном сайте, а также может быть сообщена заявителю в устной и (или) в письменной форме.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16"/>
        <w:widowControl w:val="false"/>
        <w:numPr>
          <w:ilvl w:val="0"/>
          <w:numId w:val="0"/>
        </w:numPr>
        <w:spacing w:before="0" w:after="320"/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eastAsia="ru-RU" w:bidi="ru-RU"/>
        </w:rPr>
        <w:t>Перечень нормативных правовых актов Российской Федерации,</w:t>
        <w:br/>
        <w:t>регулирующих порядок досудебного (внесудебного) обжалования</w:t>
        <w:br/>
        <w:t>решений и действий (бездействия) органа, предоставляющего</w:t>
        <w:br/>
        <w:t>государственную услугу, а также его должностных лиц</w:t>
      </w:r>
    </w:p>
    <w:p>
      <w:pPr>
        <w:pStyle w:val="ConsPlusNormal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83.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главой 2.1 Федерального закона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ConsPlusNormal"/>
        <w:spacing w:before="0" w:after="0"/>
        <w:ind w:firstLine="540"/>
        <w:jc w:val="both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84. Информация, указанная в разделе V настоящего административного регламента, подлежит обязательному размещению на официальном сайте Министерства, портале услуг.</w:t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Приложение № 1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к административному регламенту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предоставления Министерством жилищно-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коммунального хозяйства и гражданской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защиты населения Пензенской области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государственной услуги «П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одготовка 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выдача исходных данных для разработки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перечня мероприятий по гражданской 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обороне, мероприятий по предупреждению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чрезвычайных ситуаций природного 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техногенного характера  с целью их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последующего учета в составе раздела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«Перечень мероприятий по гражданской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обороне, мероприятий по предупреждению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чрезвычайных ситуаций природного 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техногенного характера» документации по 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обоснованию проекта планировки территории, 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в соответствии с требованиями Национального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стандарта Российской Федерации ГОСТ Р 22.2.01-2015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«Безопасность в чрезвычайных ситуациях.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Порядок обоснования и учета мероприятий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 гражданской обороне, мероприятий по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предупреждению чрезвычайных ситуаций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природного и техногенного характера при разработке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проектов планировки территорий», утвержденного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и введенного в действие приказом Федерального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агентства по техническому регулированию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и метрологии от 22.09.2015 № 1359-ст.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» </w:t>
      </w:r>
    </w:p>
    <w:p>
      <w:pPr>
        <w:pStyle w:val="ConsPlus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Форма запроса на выдачу исходных данных для разработки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ru-RU" w:bidi="ru-RU"/>
        </w:rPr>
        <w:t>раздела «Перечень мероприятий по гражданской обороне, мероприятий по предупреждению чрезвычайных ситуаций природного и  техногенного характера» пояснительной записки, входящей в состав документации по обоснованию проекта планировки территории</w:t>
      </w:r>
    </w:p>
    <w:p>
      <w:pPr>
        <w:pStyle w:val="ConsPlusNormal"/>
        <w:rPr>
          <w:rFonts w:ascii="Times New Roman" w:hAnsi="Times New Roman"/>
          <w:b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От кого:                                                                         Кому: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-------------------------                       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организации-заказчика                          </w:t>
      </w: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 xml:space="preserve">Министру жилищно-коммунального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или проектной организации,                                         </w:t>
      </w: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 xml:space="preserve">хозяйства и гражданской защиты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уполномоченной заказчиком:                                         </w:t>
      </w: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>населения Пензенской области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 г. № _______</w:t>
      </w:r>
    </w:p>
    <w:p>
      <w:pPr>
        <w:pStyle w:val="ConsPlusNonformat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дата и исходящий номер запроса</w:t>
      </w:r>
    </w:p>
    <w:p>
      <w:pPr>
        <w:pStyle w:val="ConsPlus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Прошу  предоставить  государственную  услугу и выдать исходные данные и требования   для   разработки   раздела   пояснительной  записки  «Перечень мероприятий   по   гражданской   обороне,   мероприятий  по  предупреждению чрезвычайных  ситуаций  природного  и  техногенного  характера», входящей в состав  документации  по обоснованию проекта планировки территории (далее - ПМ ГОЧС)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(наименование документации по обоснованию проекта планировки территории)</w:t>
      </w:r>
    </w:p>
    <w:p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Территория имеет следующие характеристики: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Полное наименование объекта территориального планирования.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Заказчик  разработки  раздела  ПМ  ГОЧС (наименование организации и местонахождение),  разработчик  раздела  ПМ ГОЧС (наименование организации, местонахождение).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Основание  и намечаемые сроки разработки документации по планировке территории.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Место расположения объекта планировки территории.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Основные характеристики объекта планировки территории: по населению, промышленной  или  сельскохозяйственной  специализации,  энергопотреблению, водопотреблению,   источникам  электро-,  тепло-,  газо-  и  водоснабжения, транспортным   коммуникациям,   инженерным  сетям,  имеющимся  потенциально опасным  и вредным объектам, опасным природным процессам (с указанием видов воздействия и поражающих факторов).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Группы поселений (муниципальных районов, городских округов) по гражданской обороне, наличие отнесенных  к  категориям по гражданской обороне организаций (в том случае, если они определены в установленном порядке и известны заказчику).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Численность:  наибольших  работающих смен на объектах, продолжающих работу  в  военное  время; дежурного и линейного персонала, обеспечивающего жизнедеятельность  отнесенных  к  группам  по гражданской обороне поселений (муниципальных районов, городских округов)  и  организаций особой важности; населения, подлежащего эвакуации, рассредоточению; населения, прибывающего по эвакомероприятиям.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Наличие   существующих  защитных  сооружений  гражданской  обороны (сооружений  двойного  назначения)  и  характер  их  использования в мирное время,  обеспеченность   защитными  сооружениями различных категорий укрываемых.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     ____________________  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наименование должности  заказчика             личная подпись                          расшифровка подписи</w:t>
      </w:r>
    </w:p>
    <w:p>
      <w:pPr>
        <w:pStyle w:val="ConsPlusNonformat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</w:p>
    <w:p>
      <w:pPr>
        <w:pStyle w:val="ConsPlusNonformat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                                     </w:t>
      </w:r>
      <w:r>
        <w:rPr>
          <w:rFonts w:eastAsia="Arial"/>
          <w:color w:val="000000"/>
          <w:sz w:val="24"/>
          <w:szCs w:val="24"/>
          <w:shd w:fill="auto" w:val="clear"/>
          <w:lang w:eastAsia="zh-CN" w:bidi="hi-IN"/>
        </w:rPr>
        <w:t xml:space="preserve"> </w:t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</w:t>
      </w:r>
    </w:p>
    <w:p>
      <w:pPr>
        <w:pStyle w:val="ConsPlusNonformat"/>
        <w:jc w:val="both"/>
        <w:rPr>
          <w:rFonts w:ascii="Times New Roman" w:hAnsi="Times New Roman" w:eastAsia="Calibri" w:cs="Tahoma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ahoma" w:ascii="Times New Roman" w:hAnsi="Times New Roman"/>
          <w:color w:val="auto"/>
          <w:kern w:val="0"/>
          <w:sz w:val="24"/>
          <w:szCs w:val="24"/>
          <w:lang w:val="ru-RU" w:eastAsia="en-US" w:bidi="ar-SA"/>
        </w:rPr>
      </w:r>
      <w:bookmarkStart w:id="23" w:name="P493"/>
      <w:bookmarkStart w:id="24" w:name="P493"/>
      <w:bookmarkEnd w:id="24"/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spacing w:lineRule="auto" w:line="240" w:before="200" w:after="0"/>
        <w:ind w:firstLine="540"/>
        <w:jc w:val="both"/>
        <w:rPr>
          <w:color w:val="000000"/>
          <w:sz w:val="20"/>
          <w:szCs w:val="24"/>
          <w:highlight w:val="none"/>
          <w:shd w:fill="auto" w:val="clear"/>
          <w:lang w:bidi="ru-RU"/>
        </w:rPr>
      </w:pPr>
      <w:r>
        <w:rPr>
          <w:color w:val="000000"/>
          <w:sz w:val="20"/>
          <w:szCs w:val="24"/>
          <w:shd w:fill="auto" w:val="clear"/>
          <w:lang w:bidi="ru-RU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к административному регламенту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предоставления Министерством жилищно-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коммунального хозяйства и гражданской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защиты населения Пензенской области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государственной услуги «П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одготовка 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выдача исходных данных для разработки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перечня мероприятий по гражданской 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обороне, мероприятий по предупреждению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чрезвычайных ситуаций природного 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техногенного характера  с целью их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последующего учета в составе раздела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«Перечень мероприятий по гражданской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обороне, мероприятий по предупреждению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чрезвычайных ситуаций природного и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техногенного характера» документации по 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обоснованию проекта планировки территории, 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в соответствии с требованиями Национального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стандарта Российской Федерации ГОСТ Р 22.2.01-2015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«Безопасность в чрезвычайных ситуациях.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Порядок обоснования и учета мероприятий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по гражданской обороне, мероприятий по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предупреждению чрезвычайных ситуаций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природного и техногенного характера при разработке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проектов планировки территорий», утвержденного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и введенного в действие приказом Федерального</w:t>
      </w:r>
    </w:p>
    <w:p>
      <w:pPr>
        <w:pStyle w:val="Normal"/>
        <w:spacing w:lineRule="auto" w:line="240" w:before="0" w:after="0"/>
        <w:ind w:firstLine="54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>агентства по техническому регулированию</w:t>
      </w:r>
    </w:p>
    <w:p>
      <w:pPr>
        <w:pStyle w:val="Normal"/>
        <w:spacing w:lineRule="auto" w:line="240" w:before="0" w:after="0"/>
        <w:ind w:firstLine="540"/>
        <w:jc w:val="right"/>
        <w:rPr>
          <w:color w:val="000000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 w:bidi="ru-RU"/>
        </w:rPr>
        <w:t xml:space="preserve">и метрологии от 22.09.2015 № 1359-ст.»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Форма представления исходных данных для разработки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ru-RU" w:bidi="ru-RU"/>
        </w:rPr>
        <w:t>раздела «Перечень мероприятий по гражданской обороне, мероприятий по предупреждению чрезвычайных ситуаций природного и  техногенного характера» пояснительной записки, входящей в состав документации по обоснованию проекта планировки территории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кого:                                                                                                                  Кому:                                                             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sz w:val="24"/>
          <w:szCs w:val="24"/>
          <w:shd w:fill="auto" w:val="clear"/>
          <w:lang w:eastAsia="zh-CN" w:bidi="hi-IN"/>
        </w:rPr>
        <w:t xml:space="preserve">Министерство жилищно-коммунального </w:t>
      </w:r>
      <w:r>
        <w:rPr>
          <w:rFonts w:ascii="Times New Roman" w:hAnsi="Times New Roman"/>
          <w:sz w:val="24"/>
          <w:szCs w:val="24"/>
        </w:rPr>
        <w:t xml:space="preserve">                 Наименование организации- заказчика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хозяйства и гражданской защиты                               или проектной организации,</w:t>
      </w:r>
    </w:p>
    <w:p>
      <w:pPr>
        <w:pStyle w:val="ConsPlusNonforma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населения Пензенской области                                   уполномоченной заказчиком: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</w:t>
      </w:r>
    </w:p>
    <w:p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 № _______________</w:t>
      </w:r>
    </w:p>
    <w:p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№ ___________ от _______________</w:t>
      </w:r>
    </w:p>
    <w:p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соответствии с запросом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(наименование организации-заказчика, дата, исх. №)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  исходные  данные  и  требования,  подлежащие учету при разработке раздела пояснительной записки «Перечень мероприятий по гражданской обороне, мероприятий   по   предупреждению   чрезвычайных   ситуаций   природного  и техногенного  характера» (далее - ПМ ГОЧС),  входящей  в  состав  документации по обоснованию проекта планировки территории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(наименование документации по обоснованию проекта планировки территории)</w:t>
      </w:r>
    </w:p>
    <w:p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Основание для выдачи задания (со ссылкой на официальные документы).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Ранее выполненные работы (научно-исследовательские, градостроительные и пр.), нормативные документы, учет которых обязателен при разработке раздела ПМ ГОЧС (с указанием даты утверждения, наименования разработчика или ведомства, утвердившего документ, условий использования материалов).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Для разработки мероприятий по гражданской обороне (далее - ГО):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основные положения плана ГО и защиты Пензенской области, поселения (муниципального района, городского округа):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поселения (муниципальные районы, городские округа), отнесенные к группе по ГО, их проектная численность населения;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отдельно стоящие отнесенные к категориям по ГО организации, отнесенные к категориям по ГО, организации на территории поселения (муниципальных районов, городских округов) с указанием численности производственного персонала и наибольшей работающей смены;</w:t>
      </w:r>
    </w:p>
    <w:p>
      <w:pPr>
        <w:pStyle w:val="ConsPlus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- границы зон возможной опасности и загородной зоны, предусмотренных СНиП 2.01.51-90 «Инже</w:t>
      </w:r>
      <w:r>
        <w:rPr>
          <w:rFonts w:ascii="Times New Roman" w:hAnsi="Times New Roman"/>
          <w:sz w:val="24"/>
          <w:szCs w:val="24"/>
        </w:rPr>
        <w:t>нерно-технические мероприятия гражданской обороны»;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складов и баз горючесмазочных материалов, складов и баз продовольственных, материально-технических и прочих резервов, распределительных холодильников и баз, специализированных торговых комплексов, размещаемых на отнесенных к группам по ГО территориях, в городских и сельских поселениях районов рассредоточения и эвакуации населения, размещение складов и баз восстановительного периода;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ограничения на размещение строительства в зонах возможных разрушений, катастрофического затопления, возможного опасного радиоактивного заражения (загрязнения);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основные положения планов ГО отраслей промышленности, транспорта и сельского хозяйства, размещенных и размещаемых на территории Пензенской области: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новых промышленных объектов,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железнодорожного, автомобильного, воздушного и речного транспорта с учетом обеспечения устойчивого функционирования района (размещение новых сортировочных станций и узлов, прокладка трасс обхода, соединительных веток, примыкания новых линий, размещение мостов, путепроводов, тоннелей, автомобильных дорог общегосударственного, регионального и местного значения, транспортная связь с зонами отдыха и т.д.),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прокладка трасс магистральных трубопроводов,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зоны и районы специализации сельскохозяйственного производства в военное время,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сети научных учреждений, научно-производственных объединений;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расселение: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требования к формированию систем расселения, групповых систем населенных мест районов рассредоточения и эвакуации населения;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численность рассредоточиваемого, эвакуируемого населения, расселяемого в загородной зоне на первую очередь и расчетный срок;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сборно-эвакуационных пунктов;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обеспеченность различных категорий населения существующими защитными сооружениями ГО и требования к защитным сооружениям ГО;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инженерные коммуникации: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источники водоснабжения и требования к ним;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расчет подачи воды отнесенным к группам по ГО территориям и отнесенным к категориям по ГО организациям по аварийному режиму, поселениям в районах рассредоточения и эвакуации населения;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новых объектов энергоснабжения.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Для разработки мероприятий по предупреждению  чрезвычайных ситуаций (далее - ЧС):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наблюдаемых на объекте территориального планирования опасных природных процессах (землетрясениях, оползнях, селях, лавинах, абразии, переработке берегов, карсте, суффозии, просадочности пород, наводнениях, подтоплении, эрозии, ураганах, смерчах, цунами и др.), требующих превентивных защитных мер;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перечни и места расположения существующих и намечаемых к строительству потенциально опасных объектов, транспортных коммуникаций, аварии на которых могут привести к образованию зон ЧС на объекте территориального планирования, с указанием количественных характеристик поражающих факторов,</w:t>
      </w:r>
    </w:p>
    <w:p>
      <w:pPr>
        <w:pStyle w:val="ConsPlus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дополнительные сведения об источниках ЧС природного и техногенного характера, которые необходимо учесть при проектировании (объектах, подлежащих декларированию безопасности, уровнях техногенного и природного риска и т.д.).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ascii="Times New Roman" w:hAnsi="Times New Roman"/>
          <w:sz w:val="24"/>
          <w:szCs w:val="24"/>
        </w:rPr>
        <w:t>Министр                          ________________________________________________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                                                            </w:t>
      </w:r>
      <w:r>
        <w:rPr>
          <w:rFonts w:ascii="Times New Roman" w:hAnsi="Times New Roman"/>
          <w:sz w:val="20"/>
          <w:szCs w:val="20"/>
        </w:rPr>
        <w:t xml:space="preserve">     </w:t>
      </w:r>
      <w:r>
        <w:rPr>
          <w:rFonts w:ascii="Times New Roman" w:hAnsi="Times New Roman"/>
          <w:sz w:val="20"/>
          <w:szCs w:val="20"/>
        </w:rPr>
        <w:t>(подпись)</w:t>
      </w:r>
    </w:p>
    <w:p>
      <w:pPr>
        <w:pStyle w:val="ConsPlusNormal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bidi w:val="0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Примечание:</w:t>
      </w:r>
      <w:r>
        <w:rPr>
          <w:rFonts w:ascii="Times New Roman" w:hAnsi="Times New Roman"/>
          <w:i/>
          <w:iCs/>
          <w:sz w:val="24"/>
          <w:szCs w:val="24"/>
        </w:rPr>
        <w:t xml:space="preserve"> при отсутствии исходных данных для разработки раздела ПМ ГОЧС Министерство жилищно-коммунального хозяйства и защиты населения Пензенской области сообщает об их отсутствии письмом, направляемым в адрес заказчика</w:t>
      </w:r>
    </w:p>
    <w:p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200" w:after="0"/>
        <w:ind w:firstLine="54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4"/>
          <w:shd w:fill="auto" w:val="clear"/>
          <w:lang w:eastAsia="ru-RU" w:bidi="ru-RU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1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Заголовок №1"/>
    <w:basedOn w:val="Normal"/>
    <w:qFormat/>
    <w:pPr>
      <w:widowControl w:val="false"/>
      <w:shd w:val="clear" w:color="auto" w:fill="FFFFFF"/>
      <w:spacing w:before="0" w:after="320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paragraph" w:styleId="2" w:customStyle="1">
    <w:name w:val="Колонтитул (2)"/>
    <w:basedOn w:val="Normal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Style22"/>
    <w:pPr/>
    <w:rPr/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11" w:customStyle="1">
    <w:name w:val="Основной текст1"/>
    <w:basedOn w:val="Normal"/>
    <w:qFormat/>
    <w:pPr>
      <w:shd w:val="clear" w:color="auto" w:fill="FFFFFF"/>
      <w:spacing w:lineRule="auto" w:line="252"/>
      <w:ind w:firstLine="400"/>
    </w:pPr>
    <w:rPr>
      <w:sz w:val="26"/>
      <w:szCs w:val="26"/>
    </w:rPr>
  </w:style>
  <w:style w:type="paragraph" w:styleId="21" w:customStyle="1">
    <w:name w:val="Основной текст (2)"/>
    <w:basedOn w:val="Normal"/>
    <w:qFormat/>
    <w:pPr>
      <w:shd w:val="clear" w:color="auto" w:fill="FFFFFF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/&#1053;&#1055;&#1040;%20&#1076;&#1088;&#1091;&#1075;&#1080;&#1093;%20&#1088;&#1077;&#1075;&#1080;&#1086;&#1085;&#1086;&#1074;/%7B&#1050;&#1086;&#1085;&#1089;&#1091;&#1083;&#1100;&#1090;&#1072;&#1085;&#1090;&#1055;&#1083;&#1102;&#1089;%7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Application>LibreOffice/7.2.5.2$Windows_X86_64 LibreOffice_project/499f9727c189e6ef3471021d6132d4c694f357e5</Application>
  <AppVersion>15.0000</AppVersion>
  <Pages>28</Pages>
  <Words>6945</Words>
  <Characters>54388</Characters>
  <CharactersWithSpaces>63067</CharactersWithSpaces>
  <Paragraphs>380</Paragraphs>
  <Company>КонсультантПлюс Версия 4022.00.11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2022-06-27T12:17:00Z</dcterms:created>
  <dc:creator>Обухов Владислав</dc:creator>
  <dc:description/>
  <dc:language>ru-RU</dc:language>
  <cp:lastModifiedBy/>
  <cp:lastPrinted>2022-06-30T09:39:30Z</cp:lastPrinted>
  <dcterms:modified xsi:type="dcterms:W3CDTF">2022-09-29T10:49:07Z</dcterms:modified>
  <cp:revision>118</cp:revision>
  <dc:subject/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